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2.png" ContentType="image/png"/>
  <Override PartName="/word/media/rId119.png" ContentType="image/png"/>
  <Override PartName="/word/media/rId123.png" ContentType="image/png"/>
  <Override PartName="/word/media/rId127.png" ContentType="image/png"/>
  <Override PartName="/word/media/rId137.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Sebastian Schneeweiss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3</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t xml:space="preserve">*At the time this research was conducted</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4,541 words / 8,000 words</w:t>
      </w:r>
    </w:p>
    <w:p>
      <w:pPr>
        <w:pStyle w:val="BodyText"/>
      </w:pPr>
      <w:r>
        <w:rPr>
          <w:b/>
          <w:bCs/>
          <w:u w:val="single"/>
        </w:rPr>
        <w:t xml:space="preserve">Abstract word count:</w:t>
      </w:r>
      <w:r>
        <w:t xml:space="preserve"> </w:t>
      </w:r>
      <w:r>
        <w:t xml:space="preserve">224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FDA Disclaimer</w:t>
      </w:r>
      <w:r>
        <w:rPr>
          <w:b/>
          <w:bCs/>
        </w:rPr>
        <w:t xml:space="preserve">:</w:t>
      </w:r>
      <w:r>
        <w:t xml:space="preserve"> </w:t>
      </w:r>
      <w:r>
        <w:t xml:space="preserve">This article reflects the views of the authors and should not be construed to represent FDA’s views or policies.</w:t>
      </w:r>
    </w:p>
    <w:p>
      <w:pPr>
        <w:pStyle w:val="BodyText"/>
      </w:pPr>
      <w:r>
        <w:rPr>
          <w:b/>
          <w:bCs/>
          <w:u w:val="single"/>
        </w:rPr>
        <w:t xml:space="preserve">Funding Statement:</w:t>
      </w:r>
      <w:r>
        <w:t xml:space="preserve"> </w:t>
      </w:r>
      <w:r>
        <w:t xml:space="preserve">This project was supported by the Oncology Center of Excellence, Food and Drug Administration (FDA) of the U.S. Department of Health and Human Services (HHS) as part of a contract [75F40122C00181]. The contents are those of the author(s) and do not necessarily represent the official views of, nor an endorsement by FDA/HHS, or the U.S. Government.</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i/>
          <w:iCs/>
        </w:rPr>
        <w:t xml:space="preserve">Manuscript last updated: 2025-10-22 19:40:27.508791</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evaluated when RWE can most appropriately draw causal conclusions by emulating trials for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special emphasis on systematic evaluation of fitness of data in relation to the study design and statistical analysis for a particular research question, and pre-registration of study protocols prior to initiation and analysis. Pre-specified criteria will assess agreement of treatment effect estimates between RCTs and their respective emulations. Through extensive sensitivity analyses benchmarked against RCT results, the ENCORE project aims to inform understanding of how measurement, design, and analytic decisions influence the interpretation of results from emulated oncology trials using RWD.</w:t>
      </w:r>
    </w:p>
    <w:p>
      <w:r>
        <w:br w:type="page"/>
      </w:r>
    </w:p>
    <w:bookmarkEnd w:id="23"/>
    <w:bookmarkStart w:id="24" w:name="background"/>
    <w:p>
      <w:pPr>
        <w:pStyle w:val="Heading1"/>
      </w:pPr>
      <w:r>
        <w:t xml:space="preserve">Background</w:t>
      </w:r>
    </w:p>
    <w:p>
      <w:pPr>
        <w:pStyle w:val="FirstParagraph"/>
      </w:pPr>
      <w:r>
        <w:t xml:space="preserve">Randomized controlled trials (RCTs) are the evidentiary gold standard methodology for establishing the efficacy and safety of medical products. Guided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considerations for use of real-world evidence (RWE) generated from real-world data (RWD) such as electronic health records (EHR) to support approval of new indications or satisfy postmarketing requirements.</w:t>
      </w:r>
      <w:r>
        <w:rPr>
          <w:vertAlign w:val="superscript"/>
        </w:rPr>
        <w:t xml:space="preserve">1</w:t>
      </w:r>
      <w:r>
        <w:t xml:space="preserve"> </w:t>
      </w:r>
      <w:r>
        <w:t xml:space="preserve">Accounting for approximately 30% of new FDA drug approvals, oncology was the disease area with the most new approvals in 2023</w:t>
      </w:r>
      <w:r>
        <w:rPr>
          <w:vertAlign w:val="superscript"/>
        </w:rPr>
        <w:t xml:space="preserve">2</w:t>
      </w:r>
      <w:r>
        <w:t xml:space="preserve"> </w:t>
      </w:r>
      <w:r>
        <w:t xml:space="preserve">as well as several indication expansions, and has many areas of high unmet medical need to treat serious conditions. Therefore, RWE can have a particularly important potential to complement evidence from RCTs in the field of oncology. Potential uses include the assessment of effectiveness in specific patient populations that are not adequately represented in RCTs, or the precision oncology-focused discovery of biomarkers among pan-tumor populations that harbor specific genomic and immuno-pathological signatures.</w:t>
      </w:r>
    </w:p>
    <w:p>
      <w:pPr>
        <w:pStyle w:val="BodyText"/>
      </w:pPr>
      <w:r>
        <w:t xml:space="preserve">However, the comparability and transportability of results derived between non-interventional studies and RCTs depends on multiple factors. Frequently referenced limitations include lack of baseline randomization and the imbalance in prognostic factors resulting thereof, missing data, unmeasured confounding, small study sizes, data discontinuity,</w:t>
      </w:r>
      <w:r>
        <w:rPr>
          <w:vertAlign w:val="superscript"/>
        </w:rPr>
        <w:t xml:space="preserve">3,4</w:t>
      </w:r>
      <w:r>
        <w:t xml:space="preserve"> </w:t>
      </w:r>
      <w:r>
        <w:t xml:space="preserve">adoption of changes in treatment guidelines over time in routine clinical care and the inability to measure and emulate common eligibility criteria, including prognostic factors, and standardized endpoint assessments in real-world data (RWD).</w:t>
      </w:r>
      <w:r>
        <w:rPr>
          <w:vertAlign w:val="superscript"/>
        </w:rPr>
        <w:t xml:space="preserve">5</w:t>
      </w:r>
      <w:r>
        <w:t xml:space="preserve"> </w:t>
      </w:r>
      <w:r>
        <w:t xml:space="preserve">While examples of oncology trial emulations have been published,</w:t>
      </w:r>
      <w:r>
        <w:rPr>
          <w:vertAlign w:val="superscript"/>
        </w:rPr>
        <w:t xml:space="preserve">5–7</w:t>
      </w:r>
      <w:r>
        <w:t xml:space="preserve"> </w:t>
      </w:r>
      <w:r>
        <w:t xml:space="preserve">a systematic and scaled approach to emulate a diverse set of oncology trials with multiple heterogeneous databases would enhance increase confidence in the interpretability of non-interventional studies, evaluate regulatory considerations, and to provide context as to which questions can be validly answered.</w:t>
      </w:r>
    </w:p>
    <w:p>
      <w:pPr>
        <w:pStyle w:val="BodyText"/>
      </w:pPr>
      <w:r>
        <w:t xml:space="preserve">The RCT DUPLICATE initiative</w:t>
      </w:r>
      <w:r>
        <w:rPr>
          <w:vertAlign w:val="superscript"/>
        </w:rPr>
        <w:t xml:space="preserve">8</w:t>
      </w:r>
      <w:r>
        <w:t xml:space="preserve"> </w:t>
      </w:r>
      <w:r>
        <w:t xml:space="preserve">evaluated when non-interventional studies can come to causal conclusions on treatment effects by benchmarking results against RCTs under the assumption that well-designed and conducted RCT findings reflect causal treatment effects. In settings where the RCT designs could be emulated well, non-interventional studies were able to reach similar conclusions.</w:t>
      </w:r>
      <w:r>
        <w:rPr>
          <w:vertAlign w:val="superscript"/>
        </w:rPr>
        <w:t xml:space="preserve">9</w:t>
      </w:r>
      <w:r>
        <w:t xml:space="preserve"> </w:t>
      </w:r>
      <w:r>
        <w:t xml:space="preserve">However, this prior work from RCT-DUPLICATE focused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10</w:t>
      </w:r>
      <w:r>
        <w:t xml:space="preserve"> </w:t>
      </w:r>
      <w:r>
        <w:t xml:space="preserve">aims to extend this work to oncology. Clinical studies in oncology come with unique methodological challenges which must be systematically explored and understood. Building on a process co-developed with the FDA through RCT DUPLICATE,</w:t>
      </w:r>
      <w:r>
        <w:rPr>
          <w:vertAlign w:val="superscript"/>
        </w:rPr>
        <w:t xml:space="preserve">8</w:t>
      </w:r>
      <w:r>
        <w:t xml:space="preserve"> </w:t>
      </w:r>
      <w:r>
        <w:t xml:space="preserve">this expansion to oncology will emulate 12 randomized clinical trials using multiple specialty oncology EHR data sources. The process will emphasize transparency and include a data fitness-for-use assessment</w:t>
      </w:r>
      <w:r>
        <w:rPr>
          <w:vertAlign w:val="superscript"/>
        </w:rPr>
        <w:t xml:space="preserve">11,12</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apply these methods to gain insights into the potential use of RWE to enhance regulatory and clinical decision-making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assessment of the database quality and selection, protocol development and pre-registration, study design and statistical analysis plans,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clarify when non-interventional studies can or cannot yield similar results compared to oncology RCTs. Therefore, the project emphasizes trials of therapies for common cancers for which there has been substantial therapeutic development in recent years. After review and collaboration with clinical and regulatory experts, four cancer types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by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13</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2011 or later</w:t>
      </w:r>
    </w:p>
    <w:p>
      <w:pPr>
        <w:numPr>
          <w:ilvl w:val="0"/>
          <w:numId w:val="1001"/>
        </w:numPr>
      </w:pPr>
      <w:r>
        <w:t xml:space="preserve">Primary purpose: Study treatment efficacy</w:t>
      </w:r>
    </w:p>
    <w:p>
      <w:pPr>
        <w:numPr>
          <w:ilvl w:val="0"/>
          <w:numId w:val="1001"/>
        </w:numPr>
      </w:pPr>
      <w:r>
        <w:t xml:space="preserve">Endpoint(s): 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trials that challenged existing treatment policies)</w:t>
      </w:r>
    </w:p>
    <w:p>
      <w:pPr>
        <w:pStyle w:val="FirstParagraph"/>
      </w:pPr>
      <w:r>
        <w:t xml:space="preserve">The operationalization for each criterion is listed in detail in</w:t>
      </w:r>
      <w:r>
        <w:t xml:space="preserve"> </w:t>
      </w:r>
      <w:hyperlink w:anchor="tbl-criteria">
        <w:r>
          <w:rPr>
            <w:rStyle w:val="Hyperlink"/>
          </w:rPr>
          <w:t xml:space="preserve">Table 1</w:t>
        </w:r>
      </w:hyperlink>
      <w:r>
        <w:t xml:space="preserve">. We mainly considered pivotal large late-phase RCTs that were initiated after 2011 because treatment guidelines for included cancer indications have undergone significant changes in recent years. Due to the rapid adoption of newly-approved therapies in routine care, patients are less likely to receive outdated treatment regimens in clinical practice. Conversely, we excluded trials with results published too recently to allow for substantive medical product uptake and follow-up time accrual in real-world databases used for this project. We did not define a global cut-off as the requirements for follow-up time are different for each cancer type and population (e.g., advanced NSCLC versus early-stage breast cancer) and the decisions were made on a clinically relevant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14</w:t>
      </w:r>
      <w:r>
        <w:t xml:space="preserve">-based PFS and ORR assessment in RCTs</w:t>
      </w:r>
      <w:r>
        <w:rPr>
          <w:vertAlign w:val="superscript"/>
        </w:rPr>
        <w:t xml:space="preserve">15,16</w:t>
      </w:r>
      <w:r>
        <w:t xml:space="preserve">, imaging-based evaluations still require a level of granularity which is not well reflected in chart-abstracted assessments of a patient’s progression in routine care.</w:t>
      </w:r>
      <w:r>
        <w:rPr>
          <w:vertAlign w:val="superscript"/>
        </w:rPr>
        <w:t xml:space="preserve">17,18</w:t>
      </w:r>
      <w:r>
        <w:t xml:space="preserve"> </w:t>
      </w:r>
      <w:r>
        <w:t xml:space="preserve">The timing and cadence of intervals between progression assessments can differ between RCTs and routine care which may result in measurement error and bias.</w:t>
      </w:r>
      <w:r>
        <w:rPr>
          <w:vertAlign w:val="superscript"/>
        </w:rPr>
        <w:t xml:space="preserve">19</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OS as a pre-specified endpoint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18</w:t>
      </w:r>
      <w:r>
        <w:t xml:space="preserve"> </w:t>
      </w:r>
      <w:r>
        <w:t xml:space="preserve">involving an assessment of whether critical eligibility criteria (e.g., biomarker status) including prognostic factors (e.g., Eastern Cooperative Oncology Group [ECOG] performance score) are measurable, and whether preliminary study size based on a rough estimation of the number of patients observed in the data with the combination of treatment regimen and line of therapy is reasonable for shortlisting the trial. Lastly, trial candidates were ranked and shortlisted as primary or runner-up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The majority of shortlisted trials represent indications for advanced (locally advanced, inoperable, recurrent/progressive disease) or metastatic cancer patients because a large proportion of drug development efforts have recently focused on these settings. A key objective that we aim to explore with the selected trials is to evaluate how stage (early, late), line of therapy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(including formal power calculations and assessment of sufficient balance after propensity score matching or weighting)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U.S.-based oncology-specific EHR-derived RWD data sources (in alphabetical order): ConcertAI, COTA, Flatiron Health, and Ontada/McKesson. A detailed description and sampling methodology will be provided with each trial emulation protocol. For ENCORE, not all databases will be available for each cancer indication given the specificity of data elements required and the names of the databases will be blinded and referred to as ENCORE DataBase (EDB) 1, 2, 3 and 4 for the final reporting of results (in randomly assigned order). If more than one database is considered fit-for-use for a respective trial emulation, the most suitable analytic model will be employed for each database separately and final treatment effect estimates will be pooled using a meta-analytic approach using random effects (primary; weights reflect the inverse of the variance of each database study plus an additional variance term that quantifies the assumed heterogeneity between databases) and fixed effects (secondary; weights reflect the inverse of the variance of each database study) models.</w:t>
      </w:r>
      <w:r>
        <w:rPr>
          <w:vertAlign w:val="superscript"/>
        </w:rPr>
        <w:t xml:space="preserve">20</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21,22</w:t>
      </w:r>
      <w:r>
        <w:t xml:space="preserve"> </w:t>
      </w:r>
      <w:r>
        <w:t xml:space="preserve">and will be registered on ClinicalTrials.gov after review by an expert panel comprising clinicians and FDA reveiwers. Following the target trial emulation framework, we will provide an explicit description and rationale on how each element will be emulated including database selection, covariate measurement, operationalization of key eligibility criteria, study design, data analysis and causal contrasts of interest.</w:t>
      </w:r>
      <w:r>
        <w:rPr>
          <w:vertAlign w:val="superscript"/>
        </w:rPr>
        <w:t xml:space="preserve">23,24</w:t>
      </w:r>
      <w:r>
        <w:t xml:space="preserve"> </w:t>
      </w:r>
      <w:r>
        <w:t xml:space="preserve">Since it is common that oncology RCTs update survival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An important aspect when emulating oncology trials is the choice and estimation of the appropriate estimand of interest.</w:t>
      </w:r>
      <w:r>
        <w:rPr>
          <w:vertAlign w:val="superscript"/>
        </w:rPr>
        <w:t xml:space="preserve">25</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for crossover or other post-progression antineoplastic therapy.</w:t>
      </w:r>
      <w:r>
        <w:rPr>
          <w:vertAlign w:val="superscript"/>
        </w:rPr>
        <w:t xml:space="preserve">26</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differences in observed outcomes.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candidate trial will be assessed in multiple steps based on the approach described by the Oncology Quality, Characterization, and Assessment of Real-World Data (Oncology QCARD) Initiative.</w:t>
      </w:r>
      <w:r>
        <w:rPr>
          <w:vertAlign w:val="superscript"/>
        </w:rPr>
        <w:t xml:space="preserve">18</w:t>
      </w:r>
      <w:r>
        <w:t xml:space="preserve"> </w:t>
      </w:r>
      <w:r>
        <w:t xml:space="preserve">The first step assesses if relevant variables like exposure, line of therapy, outcomes, and covariates are generally available, measured and operationalizable in routine-care. Since many oncology RCTs in recent years have focused on biomarker-defined populations, nuances in measurement and operationalizability of specific biomarkers must be understood to ensure a representative and adequately sized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percent staining, tumor proportion score, or combined positive score) has evolved, and as such PD-L1 ’</w:t>
      </w:r>
      <w:r>
        <w:rPr>
          <w:i/>
          <w:iCs/>
        </w:rPr>
        <w:t xml:space="preserve">positivity’</w:t>
      </w:r>
      <w:r>
        <w:t xml:space="preserve"> </w:t>
      </w:r>
      <w:r>
        <w:t xml:space="preserve">may have different definitions by year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12</w:t>
      </w:r>
      <w:r>
        <w:t xml:space="preserve">, the next step outlines how eligibility criteria will be ascertained using a color-coded heatmap that will indicate the level of confidence on how well each criterion can be emulated in each selected database. As there are eligibility criteria in oncology clinical trials which either are infeasible to emulate (e.g., physician-assessed survival prognosis quantification) or that do not impact clinical care for the emulation of the trial (e.g., male patients should be willing to use barrier contraception), the study team will determine key eligibility criteria for the emulation of the trial based on consensus.</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survival outcomes are emulated. For all considered databases, real-world OS (rwOS) is typically a composite measure that, depending on the underlying database, can be derived from different mortality sources (i.e., EHR documentation, Social Security Death Index,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27</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practice-changing treatments, multiple aspects need to be considered, such as the contemporaneity of the control cohort, the adoption rate of the novel medical product in routine care, the magnitude of the clinical treatment benefit, and the rate in which patients discontinue or cross-over, as they could influence effect estimates.</w:t>
      </w:r>
    </w:p>
    <w:p>
      <w:pPr>
        <w:pStyle w:val="BodyText"/>
      </w:pPr>
      <w:r>
        <w:t xml:space="preserve">To that end, comprehensive data explorations will be performed as part of the protocol development to contextualize these parameters and (if reported) evaluate comparisons to the emulated trial. Examples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by exposure status, will be examined before and after applying eligibility criteria and contrasted with the distributions of patient characteristics of the original RCT. Initial propensity score matching or weighting methods will be applied to ensure that measured pre-exposure covariates can be balanced</w:t>
      </w:r>
      <w:r>
        <w:rPr>
          <w:vertAlign w:val="superscript"/>
        </w:rPr>
        <w:t xml:space="preserve">28</w:t>
      </w:r>
      <w:r>
        <w:t xml:space="preserve">,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non-interventional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w:t>
      </w:r>
      <w:r>
        <w:rPr>
          <w:vertAlign w:val="superscript"/>
        </w:rPr>
        <w:t xml:space="preserve">29</w:t>
      </w:r>
      <w:r>
        <w:t xml:space="preserve"> </w:t>
      </w:r>
      <w:r>
        <w:t xml:space="preserve">For this project, however, the emulations in EHR data must have at least equal power to the relevant trial for interpretation of the pre-specified agreement metrics between RCT and RWD results. Since the main outcome of interest is defined as time from index treatment initiation to all-cause mortality (rwOS), the estimation of the statistical power is driven by the number of events rather than the number of patients. To assess whether the overall number of events, unstratified by exposure, is sufficient such that a significant difference can be detected based on the original RCT-reported hazard ratio (HR), the statistical power (1-</w:t>
      </w:r>
      <m:oMath>
        <m:r>
          <m:t>β</m:t>
        </m:r>
      </m:oMath>
      <w:r>
        <w:t xml:space="preserve"> </w:t>
      </w:r>
      <w:r>
        <w:t xml:space="preserve">with a 2-sided</w:t>
      </w:r>
      <w:r>
        <w:t xml:space="preserve"> </w:t>
      </w:r>
      <m:oMath>
        <m:r>
          <m:t>α</m:t>
        </m:r>
      </m:oMath>
      <w:r>
        <w:t xml:space="preserve"> </w:t>
      </w:r>
      <w:r>
        <w:t xml:space="preserve">of 0.05) will be estimated using Schoenfeld’s sample-size formula for the proportional-hazards regression model.</w:t>
      </w:r>
      <w:r>
        <w:rPr>
          <w:vertAlign w:val="superscript"/>
        </w:rPr>
        <w:t xml:space="preserve">30</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8,31</w:t>
      </w:r>
      <w:r>
        <w:t xml:space="preserve"> </w:t>
      </w:r>
      <w:r>
        <w:t xml:space="preserve">That is, for the primary endpoint of interest (hazard ratio [HR] for OS and corresponding 95% confidence intervals), we will derive three qualitative agreement metrics: statistical agreement, estimate agreement and agreement based on the standardized mean difference (SMD). Examples are illustrated in</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 (nominal in the case of emulated trials).</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(RCT estimate crossing the null although the treatment effect estimates are overlapping)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(log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32</w:t>
      </w:r>
    </w:p>
    <w:bookmarkStart w:id="33" w:name="missing-data"/>
    <w:p>
      <w:pPr>
        <w:pStyle w:val="Heading3"/>
      </w:pPr>
      <w:r>
        <w:t xml:space="preserve">Missing data</w:t>
      </w:r>
    </w:p>
    <w:p>
      <w:pPr>
        <w:pStyle w:val="FirstParagraph"/>
      </w:pPr>
      <w:r>
        <w:t xml:space="preserve">To establish an analytic cohort, missingness will be assessed across patients who meet all eligibility criteria, including those with missing values as a first iteration.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33</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34,35</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36</w:t>
      </w:r>
      <w:r>
        <w:t xml:space="preserve"> </w:t>
      </w:r>
      <w:r>
        <w:t xml:space="preserve">will additionally inform decisions regarding the inclusion or exclusion of individuals with missing values in key eligibility criteria and potential sensitivity analyses to assess the robustness of these decisions.</w:t>
      </w:r>
      <w:r>
        <w:rPr>
          <w:vertAlign w:val="superscript"/>
        </w:rPr>
        <w:t xml:space="preserve">37</w:t>
      </w:r>
    </w:p>
    <w:p>
      <w:pPr>
        <w:pStyle w:val="BodyText"/>
      </w:pPr>
      <w:r>
        <w:t xml:space="preserve">While MAR is a strong assumption to hold across all considered covariates, it has been shown that especially in the context of partially observed covariate data (as opposed to missing exposure and outcome data), generally only mechanisms in which a covariate causes its own missingness lead to significant bias (MNAR).</w:t>
      </w:r>
      <w:r>
        <w:rPr>
          <w:vertAlign w:val="superscript"/>
        </w:rPr>
        <w:t xml:space="preserve">36</w:t>
      </w:r>
      <w:r>
        <w:t xml:space="preserve"> </w:t>
      </w:r>
      <w:r>
        <w:t xml:space="preserve">Hence, methodologies which retain otherwise eligible patients and give the potential to adjust for a broader set of prognostic factors (e.g., multiple imputation</w:t>
      </w:r>
      <w:r>
        <w:rPr>
          <w:vertAlign w:val="superscript"/>
        </w:rPr>
        <w:t xml:space="preserve">38</w:t>
      </w:r>
      <w:r>
        <w:t xml:space="preserve"> </w:t>
      </w:r>
      <w:r>
        <w:t xml:space="preserve">or doubly robust methods</w:t>
      </w:r>
      <w:r>
        <w:rPr>
          <w:vertAlign w:val="superscript"/>
        </w:rPr>
        <w:t xml:space="preserve">39</w:t>
      </w:r>
      <w:r>
        <w:t xml:space="preserve">) may be preferred over complete case analyses, although such tradeoffs must be carefully evaluated within the clinical and study contexts.</w:t>
      </w:r>
    </w:p>
    <w:bookmarkEnd w:id="33"/>
    <w:bookmarkStart w:id="34" w:name="outcome-and-propensity-score-analyses"/>
    <w:p>
      <w:pPr>
        <w:pStyle w:val="Heading3"/>
      </w:pPr>
      <w:r>
        <w:t xml:space="preserve">Outcome and propensity score analyses</w:t>
      </w:r>
    </w:p>
    <w:p>
      <w:pPr>
        <w:pStyle w:val="FirstParagraph"/>
      </w:pPr>
      <w:r>
        <w:t xml:space="preserve">Due to its frequency of use in oncology trials, the primary parameter of interest in ENCORE will be defined as the marginal HR coefficient for the treatment comparison for OS.</w:t>
      </w:r>
      <w:r>
        <w:rPr>
          <w:vertAlign w:val="superscript"/>
        </w:rPr>
        <w:t xml:space="preserve">40</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relevant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43,44</w:t>
      </w:r>
      <w:r>
        <w:t xml:space="preserve"> </w:t>
      </w:r>
      <w:r>
        <w:t xml:space="preserve">As appropriate,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considered reasonable at a SMD &lt; 0.1.</w:t>
      </w:r>
      <w:r>
        <w:rPr>
          <w:vertAlign w:val="superscript"/>
        </w:rPr>
        <w:t xml:space="preserve">28</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41</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follow-up time during.</w:t>
      </w:r>
      <w:r>
        <w:rPr>
          <w:vertAlign w:val="superscript"/>
        </w:rPr>
        <w:t xml:space="preserve">49,50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differences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is not able to be publicly available; however a comprehensive and detailed documentation for each function are available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51–56</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8,31</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and availability of granular clinical data elements often necessary to gather fit-for-use data in oncology, as well as a maturing set of methodological approaches for causal inference using such data, the ENCORE project is one of the first of its kind to evaluate contexts where RWD may be reliably used to draw similar conclusions compared to RCTs in the field of oncology.</w:t>
      </w:r>
    </w:p>
    <w:p>
      <w:pPr>
        <w:pStyle w:val="BodyText"/>
      </w:pPr>
      <w:r>
        <w:t xml:space="preserve">The RCT DUPLICATE initiative</w:t>
      </w:r>
      <w:r>
        <w:rPr>
          <w:vertAlign w:val="superscript"/>
        </w:rPr>
        <w:t xml:space="preserve">8,31</w:t>
      </w:r>
      <w:r>
        <w:t xml:space="preserve"> </w:t>
      </w:r>
      <w:r>
        <w:t xml:space="preserve">identified multiple emulation challenges that may be similar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(all considered databases reflect the US only). This may impact the results of this trial emulation given that the distribution of genetic alterations and biomarkers, prognosis, and factors that drive heterogeneous treatment outcomes of certain cancers can differ between countries. For example, certain cancers (e.g., GI cancers) or certain genetic mutations (e.g., EGFR mutations in lung cancer) are much more prevalent in certain geographic regions and populations compared to the US. Additionally, treatment landscapes such as the preference for specific regimens or compounds, their use in earlier or later lines of therapies, and supportive care practices can differ between geographic regions, too.</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therapies there may be observed differences in outcomes between trial and emulation.</w:t>
      </w:r>
      <w:r>
        <w:rPr>
          <w:vertAlign w:val="superscript"/>
        </w:rPr>
        <w:t xml:space="preserve">26</w:t>
      </w:r>
      <w:r>
        <w:t xml:space="preserve"> </w:t>
      </w:r>
      <w:r>
        <w:t xml:space="preserve">Although this is also a common challenge in the analysis of RCTs,</w:t>
      </w:r>
      <w:r>
        <w:rPr>
          <w:vertAlign w:val="superscript"/>
        </w:rPr>
        <w:t xml:space="preserve">25</w:t>
      </w:r>
      <w:r>
        <w:t xml:space="preserve"> </w:t>
      </w:r>
      <w:r>
        <w:t xml:space="preserve">treatment in routine clinical practice might be less stringent compared to trials in terms of pre-specified dosing schedules, monitoring and surveillance.</w:t>
      </w:r>
      <w:r>
        <w:rPr>
          <w:vertAlign w:val="superscript"/>
        </w:rPr>
        <w:t xml:space="preserve">7</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narrow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57</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Principled, well-designed and reproducible studies using fit-for-purpose RWD to generate RWE, such as through trial emulation, may complement evidence from RCTs. Through a systematic benchmarking approach, the ENCORE project will provide insights as to how methodological, design, and analytic decisions influence quantifiable bias and interpretability of non-interventional studies in oncology.</w:t>
      </w:r>
    </w:p>
    <w:p>
      <w:r>
        <w:br w:type="page"/>
      </w:r>
    </w:p>
    <w:bookmarkEnd w:id="39"/>
    <w:bookmarkEnd w:id="40"/>
    <w:bookmarkStart w:id="118" w:name="references"/>
    <w:p>
      <w:pPr>
        <w:pStyle w:val="Heading1"/>
      </w:pPr>
      <w:r>
        <w:t xml:space="preserve">References</w:t>
      </w:r>
    </w:p>
    <w:bookmarkStart w:id="117" w:name="refs"/>
    <w:bookmarkStart w:id="42" w:name="ref-RWEFDA"/>
    <w:p>
      <w:pPr>
        <w:pStyle w:val="Bibliography"/>
      </w:pPr>
      <w:r>
        <w:t xml:space="preserve">1.</w:t>
      </w:r>
      <w:r>
        <w:t xml:space="preserve"> </w:t>
      </w:r>
      <w:r>
        <w:t xml:space="preserve">	</w:t>
      </w:r>
      <w:r>
        <w:t xml:space="preserve">Framework for FDA’s real-world evidence program (last accessed 11/28/2024). (2018).at &lt;</w:t>
      </w:r>
      <w:hyperlink r:id="rId41">
        <w:r>
          <w:rPr>
            <w:rStyle w:val="Hyperlink"/>
          </w:rPr>
          <w:t xml:space="preserve">https://www.fda.gov/media/120060/download?attachment</w:t>
        </w:r>
      </w:hyperlink>
      <w:r>
        <w:t xml:space="preserve">&gt;</w:t>
      </w:r>
    </w:p>
    <w:bookmarkEnd w:id="42"/>
    <w:bookmarkStart w:id="43" w:name="ref-mullard20242023"/>
    <w:p>
      <w:pPr>
        <w:pStyle w:val="Bibliography"/>
      </w:pPr>
      <w:r>
        <w:t xml:space="preserve">2.</w:t>
      </w:r>
      <w:r>
        <w:t xml:space="preserve"> </w:t>
      </w:r>
      <w:r>
        <w:t xml:space="preserve">	</w:t>
      </w:r>
      <w:r>
        <w:t xml:space="preserve">Mullard, A. 2023 FDA approvals.</w:t>
      </w:r>
      <w:r>
        <w:t xml:space="preserve"> </w:t>
      </w:r>
      <w:r>
        <w:rPr>
          <w:i/>
          <w:iCs/>
        </w:rPr>
        <w:t xml:space="preserve">Nat Rev Drug Discov</w:t>
      </w:r>
      <w:r>
        <w:t xml:space="preserve"> </w:t>
      </w:r>
      <w:r>
        <w:rPr>
          <w:b/>
          <w:bCs/>
        </w:rPr>
        <w:t xml:space="preserve">23</w:t>
      </w:r>
      <w:r>
        <w:t xml:space="preserve">, 88–95 (2024).</w:t>
      </w:r>
    </w:p>
    <w:bookmarkEnd w:id="43"/>
    <w:bookmarkStart w:id="45" w:name="ref-Merola2022"/>
    <w:p>
      <w:pPr>
        <w:pStyle w:val="Bibliography"/>
      </w:pPr>
      <w:r>
        <w:t xml:space="preserve">3.</w:t>
      </w:r>
      <w:r>
        <w:t xml:space="preserve"> </w:t>
      </w:r>
      <w:r>
        <w:t xml:space="preserve">	</w:t>
      </w:r>
      <w:r>
        <w:t xml:space="preserve">Merola, D., Schneeweiss, S., Schrag, D., Lii, J. &amp; Lin, K. J.</w:t>
      </w:r>
      <w:r>
        <w:t xml:space="preserve"> </w:t>
      </w:r>
      <w:hyperlink r:id="rId44">
        <w:r>
          <w:rPr>
            <w:rStyle w:val="Hyperlink"/>
          </w:rPr>
          <w:t xml:space="preserve">An algorithm to predict data completeness in oncology electronic medical records for comparative effectiveness research</w:t>
        </w:r>
      </w:hyperlink>
      <w:r>
        <w:t xml:space="preserve">.</w:t>
      </w:r>
      <w:r>
        <w:t xml:space="preserve"> </w:t>
      </w:r>
      <w:r>
        <w:rPr>
          <w:i/>
          <w:iCs/>
        </w:rPr>
        <w:t xml:space="preserve">Annals of Epidemiology</w:t>
      </w:r>
      <w:r>
        <w:t xml:space="preserve"> </w:t>
      </w:r>
      <w:r>
        <w:rPr>
          <w:b/>
          <w:bCs/>
        </w:rPr>
        <w:t xml:space="preserve">76</w:t>
      </w:r>
      <w:r>
        <w:t xml:space="preserve">, 143–149 (2022).</w:t>
      </w:r>
    </w:p>
    <w:bookmarkEnd w:id="45"/>
    <w:bookmarkStart w:id="46" w:name="ref-joshua2022longitudinal"/>
    <w:p>
      <w:pPr>
        <w:pStyle w:val="Bibliography"/>
      </w:pPr>
      <w:r>
        <w:t xml:space="preserve">4.</w:t>
      </w:r>
      <w:r>
        <w:t xml:space="preserve"> </w:t>
      </w:r>
      <w:r>
        <w:t xml:space="preserve">	</w:t>
      </w:r>
      <w:r>
        <w:t xml:space="preserve">Joshua Lin, K.</w:t>
      </w:r>
      <w:r>
        <w:t xml:space="preserve"> </w:t>
      </w:r>
      <w:r>
        <w:rPr>
          <w:i/>
          <w:iCs/>
        </w:rPr>
        <w:t xml:space="preserve">et al.</w:t>
      </w:r>
      <w:r>
        <w:t xml:space="preserve"> </w:t>
      </w:r>
      <w:r>
        <w:t xml:space="preserve">Longitudinal data discontinuity in electronic health records and consequences for medication effectiveness studies.</w:t>
      </w:r>
      <w:r>
        <w:t xml:space="preserve"> </w:t>
      </w:r>
      <w:r>
        <w:rPr>
          <w:i/>
          <w:iCs/>
        </w:rPr>
        <w:t xml:space="preserve">Clinical Pharmacology &amp; Therapeutics</w:t>
      </w:r>
      <w:r>
        <w:t xml:space="preserve"> </w:t>
      </w:r>
      <w:r>
        <w:rPr>
          <w:b/>
          <w:bCs/>
        </w:rPr>
        <w:t xml:space="preserve">111</w:t>
      </w:r>
      <w:r>
        <w:t xml:space="preserve">, 243–251 (2022).</w:t>
      </w:r>
    </w:p>
    <w:bookmarkEnd w:id="46"/>
    <w:bookmarkStart w:id="47" w:name="ref-rider2024emulations"/>
    <w:p>
      <w:pPr>
        <w:pStyle w:val="Bibliography"/>
      </w:pPr>
      <w:r>
        <w:t xml:space="preserve">5.</w:t>
      </w:r>
      <w:r>
        <w:t xml:space="preserve"> </w:t>
      </w:r>
      <w:r>
        <w:t xml:space="preserve">	</w:t>
      </w:r>
      <w:r>
        <w:t xml:space="preserve">Rider, J. R.</w:t>
      </w:r>
      <w:r>
        <w:t xml:space="preserve"> </w:t>
      </w:r>
      <w:r>
        <w:rPr>
          <w:i/>
          <w:iCs/>
        </w:rPr>
        <w:t xml:space="preserve">et al.</w:t>
      </w:r>
      <w:r>
        <w:t xml:space="preserve"> </w:t>
      </w:r>
      <w:r>
        <w:t xml:space="preserve">Emulations of oncology trials using real-world data: A systematic literature review.</w:t>
      </w:r>
      <w:r>
        <w:t xml:space="preserve"> </w:t>
      </w:r>
      <w:r>
        <w:rPr>
          <w:i/>
          <w:iCs/>
        </w:rPr>
        <w:t xml:space="preserve">American journal of epidemiology</w:t>
      </w:r>
      <w:r>
        <w:t xml:space="preserve"> </w:t>
      </w:r>
      <w:r>
        <w:t xml:space="preserve">kwae346 (2024).</w:t>
      </w:r>
    </w:p>
    <w:bookmarkEnd w:id="47"/>
    <w:bookmarkStart w:id="48" w:name="ref-merola2023aetion"/>
    <w:p>
      <w:pPr>
        <w:pStyle w:val="Bibliography"/>
      </w:pPr>
      <w:r>
        <w:t xml:space="preserve">6.</w:t>
      </w:r>
      <w:r>
        <w:t xml:space="preserve"> </w:t>
      </w:r>
      <w:r>
        <w:t xml:space="preserve">	</w:t>
      </w:r>
      <w:r>
        <w:t xml:space="preserve">Merola, D.</w:t>
      </w:r>
      <w:r>
        <w:t xml:space="preserve"> </w:t>
      </w:r>
      <w:r>
        <w:rPr>
          <w:i/>
          <w:iCs/>
        </w:rPr>
        <w:t xml:space="preserve">et al.</w:t>
      </w:r>
      <w:r>
        <w:t xml:space="preserve"> </w:t>
      </w:r>
      <w:r>
        <w:t xml:space="preserve">The aetion coalition to advance real-world evidence through randomized controlled trial emulation initiative: oncology.</w:t>
      </w:r>
      <w:r>
        <w:t xml:space="preserve"> </w:t>
      </w:r>
      <w:r>
        <w:rPr>
          <w:i/>
          <w:iCs/>
        </w:rPr>
        <w:t xml:space="preserve">Clinical Pharmacology &amp; Therapeutics</w:t>
      </w:r>
      <w:r>
        <w:t xml:space="preserve"> </w:t>
      </w:r>
      <w:r>
        <w:rPr>
          <w:b/>
          <w:bCs/>
        </w:rPr>
        <w:t xml:space="preserve">113</w:t>
      </w:r>
      <w:r>
        <w:t xml:space="preserve">, 1217–1222 (2023).</w:t>
      </w:r>
    </w:p>
    <w:bookmarkEnd w:id="48"/>
    <w:bookmarkStart w:id="49" w:name="ref-merola2024calibrating"/>
    <w:p>
      <w:pPr>
        <w:pStyle w:val="Bibliography"/>
      </w:pPr>
      <w:r>
        <w:t xml:space="preserve">7.</w:t>
      </w:r>
      <w:r>
        <w:t xml:space="preserve"> </w:t>
      </w:r>
      <w:r>
        <w:t xml:space="preserve">	</w:t>
      </w:r>
      <w:r>
        <w:t xml:space="preserve">Merola, D.</w:t>
      </w:r>
      <w:r>
        <w:t xml:space="preserve"> </w:t>
      </w:r>
      <w:r>
        <w:rPr>
          <w:i/>
          <w:iCs/>
        </w:rPr>
        <w:t xml:space="preserve">et al.</w:t>
      </w:r>
      <w:r>
        <w:t xml:space="preserve"> </w:t>
      </w:r>
      <w:r>
        <w:t xml:space="preserve">Calibrating observational health record data against a randomized trial.</w:t>
      </w:r>
      <w:r>
        <w:t xml:space="preserve"> </w:t>
      </w:r>
      <w:r>
        <w:rPr>
          <w:i/>
          <w:iCs/>
        </w:rPr>
        <w:t xml:space="preserve">JAMA Network Open</w:t>
      </w:r>
      <w:r>
        <w:t xml:space="preserve"> </w:t>
      </w:r>
      <w:r>
        <w:rPr>
          <w:b/>
          <w:bCs/>
        </w:rPr>
        <w:t xml:space="preserve">7</w:t>
      </w:r>
      <w:r>
        <w:t xml:space="preserve">, e2436535–e2436535 (2024).</w:t>
      </w:r>
    </w:p>
    <w:bookmarkEnd w:id="49"/>
    <w:bookmarkStart w:id="51" w:name="ref-wang2023emulation"/>
    <w:p>
      <w:pPr>
        <w:pStyle w:val="Bibliography"/>
      </w:pPr>
      <w:r>
        <w:t xml:space="preserve">8.</w:t>
      </w:r>
      <w:r>
        <w:t xml:space="preserve"> </w:t>
      </w:r>
      <w:r>
        <w:t xml:space="preserve">	</w:t>
      </w:r>
      <w:r>
        <w:t xml:space="preserve">Wang, S. V.</w:t>
      </w:r>
      <w:r>
        <w:t xml:space="preserve"> </w:t>
      </w:r>
      <w:r>
        <w:rPr>
          <w:i/>
          <w:iCs/>
        </w:rPr>
        <w:t xml:space="preserve">et al.</w:t>
      </w:r>
      <w:r>
        <w:t xml:space="preserve"> </w:t>
      </w:r>
      <w:hyperlink r:id="rId50">
        <w:r>
          <w:rPr>
            <w:rStyle w:val="Hyperlink"/>
          </w:rPr>
          <w:t xml:space="preserve">Emulation of randomized clinical trials with nonrandomized database analyses: Results of 32 clinical trials</w:t>
        </w:r>
      </w:hyperlink>
      <w:r>
        <w:t xml:space="preserve">.</w:t>
      </w:r>
      <w:r>
        <w:t xml:space="preserve"> </w:t>
      </w:r>
      <w:r>
        <w:rPr>
          <w:i/>
          <w:iCs/>
        </w:rPr>
        <w:t xml:space="preserve">Jama</w:t>
      </w:r>
      <w:r>
        <w:t xml:space="preserve"> </w:t>
      </w:r>
      <w:r>
        <w:rPr>
          <w:b/>
          <w:bCs/>
        </w:rPr>
        <w:t xml:space="preserve">329</w:t>
      </w:r>
      <w:r>
        <w:t xml:space="preserve">, 1376–1385 (2023).</w:t>
      </w:r>
    </w:p>
    <w:bookmarkEnd w:id="51"/>
    <w:bookmarkStart w:id="53" w:name="ref-heyard2024design"/>
    <w:p>
      <w:pPr>
        <w:pStyle w:val="Bibliography"/>
      </w:pPr>
      <w:r>
        <w:t xml:space="preserve">9.</w:t>
      </w:r>
      <w:r>
        <w:t xml:space="preserve"> </w:t>
      </w:r>
      <w:r>
        <w:t xml:space="preserve">	</w:t>
      </w:r>
      <w:r>
        <w:t xml:space="preserve">Heyard, R., Held, L., Schneeweiss, S. &amp; Wang, S. V.</w:t>
      </w:r>
      <w:r>
        <w:t xml:space="preserve"> </w:t>
      </w:r>
      <w:hyperlink r:id="rId52">
        <w:r>
          <w:rPr>
            <w:rStyle w:val="Hyperlink"/>
          </w:rPr>
          <w:t xml:space="preserve">Design differences and variation in results between randomised trials and non-randomised emulations: Meta-analysis of RCT-DUPLICATE data</w:t>
        </w:r>
      </w:hyperlink>
      <w:r>
        <w:t xml:space="preserve">.</w:t>
      </w:r>
      <w:r>
        <w:t xml:space="preserve"> </w:t>
      </w:r>
      <w:r>
        <w:rPr>
          <w:i/>
          <w:iCs/>
        </w:rPr>
        <w:t xml:space="preserve">BMJ medicine</w:t>
      </w:r>
      <w:r>
        <w:t xml:space="preserve"> </w:t>
      </w:r>
      <w:r>
        <w:rPr>
          <w:b/>
          <w:bCs/>
        </w:rPr>
        <w:t xml:space="preserve">3</w:t>
      </w:r>
      <w:r>
        <w:t xml:space="preserve">, (2024).</w:t>
      </w:r>
    </w:p>
    <w:bookmarkEnd w:id="53"/>
    <w:bookmarkStart w:id="55" w:name="ref-encoreFDA"/>
    <w:p>
      <w:pPr>
        <w:pStyle w:val="Bibliography"/>
      </w:pPr>
      <w:r>
        <w:t xml:space="preserve">10.</w:t>
      </w:r>
      <w:r>
        <w:t xml:space="preserve"> </w:t>
      </w:r>
      <w:r>
        <w:t xml:space="preserve">	</w:t>
      </w:r>
      <w:r>
        <w:t xml:space="preserve">Calibrating real-world evidence studies in oncology against randomized trials: ENCORE (last accessed 11/28/2024). (2024).at &lt;</w:t>
      </w:r>
      <w:hyperlink r:id="rId54">
        <w:r>
          <w:rPr>
            <w:rStyle w:val="Hyperlink"/>
          </w:rPr>
          <w:t xml:space="preserve">https://www.fda.gov/about-fda/oncology-center-excellence/calibrating-real-world-evidence-studies-oncology-against-randomized-trials-encore</w:t>
        </w:r>
      </w:hyperlink>
      <w:r>
        <w:t xml:space="preserve">&gt;</w:t>
      </w:r>
    </w:p>
    <w:bookmarkEnd w:id="55"/>
    <w:bookmarkStart w:id="56" w:name="ref-rivera2024oncology"/>
    <w:p>
      <w:pPr>
        <w:pStyle w:val="Bibliography"/>
      </w:pPr>
      <w:r>
        <w:t xml:space="preserve">11.</w:t>
      </w:r>
      <w:r>
        <w:t xml:space="preserve"> </w:t>
      </w:r>
      <w:r>
        <w:t xml:space="preserve">	</w:t>
      </w:r>
      <w:r>
        <w:t xml:space="preserve">Rivera, D. R.</w:t>
      </w:r>
      <w:r>
        <w:t xml:space="preserve"> </w:t>
      </w:r>
      <w:r>
        <w:rPr>
          <w:i/>
          <w:iCs/>
        </w:rPr>
        <w:t xml:space="preserve">et al.</w:t>
      </w:r>
      <w:r>
        <w:t xml:space="preserve"> </w:t>
      </w:r>
      <w:r>
        <w:t xml:space="preserve">The oncology QCARD initiative: Fostering efficient evaluation of initial real-world data proposals.</w:t>
      </w:r>
      <w:r>
        <w:t xml:space="preserve"> </w:t>
      </w:r>
      <w:r>
        <w:rPr>
          <w:i/>
          <w:iCs/>
        </w:rPr>
        <w:t xml:space="preserve">Pharmacoepidemiology and Drug Safety</w:t>
      </w:r>
      <w:r>
        <w:t xml:space="preserve"> </w:t>
      </w:r>
      <w:r>
        <w:rPr>
          <w:b/>
          <w:bCs/>
        </w:rPr>
        <w:t xml:space="preserve">33</w:t>
      </w:r>
      <w:r>
        <w:t xml:space="preserve">, e5818 (2024).</w:t>
      </w:r>
    </w:p>
    <w:bookmarkEnd w:id="56"/>
    <w:bookmarkStart w:id="57" w:name="ref-gatto2022structured"/>
    <w:p>
      <w:pPr>
        <w:pStyle w:val="Bibliography"/>
      </w:pPr>
      <w:r>
        <w:t xml:space="preserve">12.</w:t>
      </w:r>
      <w:r>
        <w:t xml:space="preserve"> </w:t>
      </w:r>
      <w:r>
        <w:t xml:space="preserve">	</w:t>
      </w:r>
      <w:r>
        <w:t xml:space="preserve">Gatto, N. M.</w:t>
      </w:r>
      <w:r>
        <w:t xml:space="preserve"> </w:t>
      </w:r>
      <w:r>
        <w:rPr>
          <w:i/>
          <w:iCs/>
        </w:rPr>
        <w:t xml:space="preserve">et al.</w:t>
      </w:r>
      <w:r>
        <w:t xml:space="preserve"> </w:t>
      </w:r>
      <w:r>
        <w:t xml:space="preserve">The structured process to identify fit-for-purpose data: A data feasibility assessment framework.</w:t>
      </w:r>
      <w:r>
        <w:t xml:space="preserve"> </w:t>
      </w:r>
      <w:r>
        <w:rPr>
          <w:i/>
          <w:iCs/>
        </w:rPr>
        <w:t xml:space="preserve">Clinical Pharmacology &amp; Therapeutics</w:t>
      </w:r>
      <w:r>
        <w:t xml:space="preserve"> </w:t>
      </w:r>
      <w:r>
        <w:rPr>
          <w:b/>
          <w:bCs/>
        </w:rPr>
        <w:t xml:space="preserve">111</w:t>
      </w:r>
      <w:r>
        <w:t xml:space="preserve">, 122–134 (2022).</w:t>
      </w:r>
    </w:p>
    <w:bookmarkEnd w:id="57"/>
    <w:bookmarkStart w:id="58" w:name="ref-tasneem2012database"/>
    <w:p>
      <w:pPr>
        <w:pStyle w:val="Bibliography"/>
      </w:pPr>
      <w:r>
        <w:t xml:space="preserve">13.</w:t>
      </w:r>
      <w:r>
        <w:t xml:space="preserve"> </w:t>
      </w:r>
      <w:r>
        <w:t xml:space="preserve">	</w:t>
      </w:r>
      <w:r>
        <w:t xml:space="preserve">Tasneem, A.</w:t>
      </w:r>
      <w:r>
        <w:t xml:space="preserve"> </w:t>
      </w:r>
      <w:r>
        <w:rPr>
          <w:i/>
          <w:iCs/>
        </w:rPr>
        <w:t xml:space="preserve">et al.</w:t>
      </w:r>
      <w:r>
        <w:t xml:space="preserve"> </w:t>
      </w:r>
      <w:r>
        <w:t xml:space="preserve">The database for aggregate analysis of ClinicalTrials. Gov (AACT) and subsequent regrouping by clinical specialty.</w:t>
      </w:r>
      <w:r>
        <w:t xml:space="preserve"> </w:t>
      </w:r>
      <w:r>
        <w:rPr>
          <w:i/>
          <w:iCs/>
        </w:rPr>
        <w:t xml:space="preserve">PloS one</w:t>
      </w:r>
      <w:r>
        <w:t xml:space="preserve"> </w:t>
      </w:r>
      <w:r>
        <w:rPr>
          <w:b/>
          <w:bCs/>
        </w:rPr>
        <w:t xml:space="preserve">7</w:t>
      </w:r>
      <w:r>
        <w:t xml:space="preserve">, e33677 (2012).</w:t>
      </w:r>
    </w:p>
    <w:bookmarkEnd w:id="58"/>
    <w:bookmarkStart w:id="59" w:name="ref-eisenhauer2009new"/>
    <w:p>
      <w:pPr>
        <w:pStyle w:val="Bibliography"/>
      </w:pPr>
      <w:r>
        <w:t xml:space="preserve">14.</w:t>
      </w:r>
      <w:r>
        <w:t xml:space="preserve"> </w:t>
      </w:r>
      <w:r>
        <w:t xml:space="preserve">	</w:t>
      </w:r>
      <w:r>
        <w:t xml:space="preserve">Eisenhauer, E. A.</w:t>
      </w:r>
      <w:r>
        <w:t xml:space="preserve"> </w:t>
      </w:r>
      <w:r>
        <w:rPr>
          <w:i/>
          <w:iCs/>
        </w:rPr>
        <w:t xml:space="preserve">et al.</w:t>
      </w:r>
      <w:r>
        <w:t xml:space="preserve"> </w:t>
      </w:r>
      <w:r>
        <w:t xml:space="preserve">New response evaluation criteria in solid tumours: Revised RECIST guideline (version 1.1).</w:t>
      </w:r>
      <w:r>
        <w:t xml:space="preserve"> </w:t>
      </w:r>
      <w:r>
        <w:rPr>
          <w:i/>
          <w:iCs/>
        </w:rPr>
        <w:t xml:space="preserve">European journal of cancer</w:t>
      </w:r>
      <w:r>
        <w:t xml:space="preserve"> </w:t>
      </w:r>
      <w:r>
        <w:rPr>
          <w:b/>
          <w:bCs/>
        </w:rPr>
        <w:t xml:space="preserve">45</w:t>
      </w:r>
      <w:r>
        <w:t xml:space="preserve">, 228–247 (2009).</w:t>
      </w:r>
    </w:p>
    <w:bookmarkEnd w:id="59"/>
    <w:bookmarkStart w:id="61" w:name="ref-ThanCCR"/>
    <w:p>
      <w:pPr>
        <w:pStyle w:val="Bibliography"/>
      </w:pPr>
      <w:r>
        <w:t xml:space="preserve">15.</w:t>
      </w:r>
      <w:r>
        <w:t xml:space="preserve"> </w:t>
      </w:r>
      <w:r>
        <w:t xml:space="preserve">	</w:t>
      </w:r>
      <w:r>
        <w:t xml:space="preserve">Ton, T. G. N.</w:t>
      </w:r>
      <w:r>
        <w:t xml:space="preserve"> </w:t>
      </w:r>
      <w:r>
        <w:rPr>
          <w:i/>
          <w:iCs/>
        </w:rPr>
        <w:t xml:space="preserve">et al.</w:t>
      </w:r>
      <w:r>
        <w:t xml:space="preserve"> </w:t>
      </w:r>
      <w:hyperlink r:id="rId60">
        <w:r>
          <w:rPr>
            <w:rStyle w:val="Hyperlink"/>
          </w:rPr>
          <w:t xml:space="preserve">Replication of overall survival, progression-free survival, and overall response in chemotherapy arms of nonâsmall cell lung cancer trials using real-world data</w:t>
        </w:r>
      </w:hyperlink>
      <w:r>
        <w:t xml:space="preserve">.</w:t>
      </w:r>
      <w:r>
        <w:t xml:space="preserve"> </w:t>
      </w:r>
      <w:r>
        <w:rPr>
          <w:i/>
          <w:iCs/>
        </w:rPr>
        <w:t xml:space="preserve">Clinical Cancer Research</w:t>
      </w:r>
      <w:r>
        <w:t xml:space="preserve"> </w:t>
      </w:r>
      <w:r>
        <w:rPr>
          <w:b/>
          <w:bCs/>
        </w:rPr>
        <w:t xml:space="preserve">28</w:t>
      </w:r>
      <w:r>
        <w:t xml:space="preserve">, 2844–2853 (2022).</w:t>
      </w:r>
    </w:p>
    <w:bookmarkEnd w:id="61"/>
    <w:bookmarkStart w:id="62" w:name="ref-mckelvey2024evaluation"/>
    <w:p>
      <w:pPr>
        <w:pStyle w:val="Bibliography"/>
      </w:pPr>
      <w:r>
        <w:t xml:space="preserve">16.</w:t>
      </w:r>
      <w:r>
        <w:t xml:space="preserve"> </w:t>
      </w:r>
      <w:r>
        <w:t xml:space="preserve">	</w:t>
      </w:r>
      <w:r>
        <w:t xml:space="preserve">McKelvey, B. A.</w:t>
      </w:r>
      <w:r>
        <w:t xml:space="preserve"> </w:t>
      </w:r>
      <w:r>
        <w:rPr>
          <w:i/>
          <w:iCs/>
        </w:rPr>
        <w:t xml:space="preserve">et al.</w:t>
      </w:r>
      <w:r>
        <w:t xml:space="preserve"> </w:t>
      </w:r>
      <w:r>
        <w:t xml:space="preserve">Evaluation of real-world tumor response derived from electronic health record data sources: A feasibility analysis in patients with metastatic non–small cell lung cancer treated with chemotherapy.</w:t>
      </w:r>
      <w:r>
        <w:t xml:space="preserve"> </w:t>
      </w:r>
      <w:r>
        <w:rPr>
          <w:i/>
          <w:iCs/>
        </w:rPr>
        <w:t xml:space="preserve">JCO Clinical Cancer Informatics</w:t>
      </w:r>
      <w:r>
        <w:t xml:space="preserve"> </w:t>
      </w:r>
      <w:r>
        <w:rPr>
          <w:b/>
          <w:bCs/>
        </w:rPr>
        <w:t xml:space="preserve">8</w:t>
      </w:r>
      <w:r>
        <w:t xml:space="preserve">, e2400091 (2024).</w:t>
      </w:r>
    </w:p>
    <w:bookmarkEnd w:id="62"/>
    <w:bookmarkStart w:id="64" w:name="ref-rwdRECIST"/>
    <w:p>
      <w:pPr>
        <w:pStyle w:val="Bibliography"/>
      </w:pPr>
      <w:r>
        <w:t xml:space="preserve">17.</w:t>
      </w:r>
      <w:r>
        <w:t xml:space="preserve"> </w:t>
      </w:r>
      <w:r>
        <w:t xml:space="preserve">	</w:t>
      </w:r>
      <w:r>
        <w:t xml:space="preserve">Chen, L.</w:t>
      </w:r>
      <w:r>
        <w:t xml:space="preserve"> </w:t>
      </w:r>
      <w:r>
        <w:rPr>
          <w:i/>
          <w:iCs/>
        </w:rPr>
        <w:t xml:space="preserve">et al.</w:t>
      </w:r>
      <w:r>
        <w:t xml:space="preserve"> </w:t>
      </w:r>
      <w:hyperlink r:id="rId63">
        <w:r>
          <w:rPr>
            <w:rStyle w:val="Hyperlink"/>
          </w:rPr>
          <w:t xml:space="preserve">Comparison of response from RECIST1.1 and abstraction in real-world patients with lung cancer.</w:t>
        </w:r>
      </w:hyperlink>
      <w:r>
        <w:t xml:space="preserve"> </w:t>
      </w:r>
      <w:r>
        <w:rPr>
          <w:i/>
          <w:iCs/>
        </w:rPr>
        <w:t xml:space="preserve">Journal of Clinical Oncology</w:t>
      </w:r>
      <w:r>
        <w:t xml:space="preserve"> </w:t>
      </w:r>
      <w:r>
        <w:rPr>
          <w:b/>
          <w:bCs/>
        </w:rPr>
        <w:t xml:space="preserve">41</w:t>
      </w:r>
      <w:r>
        <w:t xml:space="preserve">, e21194–e21194 (2023).</w:t>
      </w:r>
    </w:p>
    <w:bookmarkEnd w:id="64"/>
    <w:bookmarkStart w:id="65" w:name="ref-rivera2022friends"/>
    <w:p>
      <w:pPr>
        <w:pStyle w:val="Bibliography"/>
      </w:pPr>
      <w:r>
        <w:t xml:space="preserve">18.</w:t>
      </w:r>
      <w:r>
        <w:t xml:space="preserve"> </w:t>
      </w:r>
      <w:r>
        <w:t xml:space="preserve">	</w:t>
      </w:r>
      <w:r>
        <w:t xml:space="preserve">Rivera, D. R.</w:t>
      </w:r>
      <w:r>
        <w:t xml:space="preserve"> </w:t>
      </w:r>
      <w:r>
        <w:rPr>
          <w:i/>
          <w:iCs/>
        </w:rPr>
        <w:t xml:space="preserve">et al.</w:t>
      </w:r>
      <w:r>
        <w:t xml:space="preserve"> </w:t>
      </w:r>
      <w:r>
        <w:t xml:space="preserve">The friends of cancer research real-world data collaboration pilot 2.0: Methodological recommendations from oncology case studies.</w:t>
      </w:r>
      <w:r>
        <w:t xml:space="preserve"> </w:t>
      </w:r>
      <w:r>
        <w:rPr>
          <w:i/>
          <w:iCs/>
        </w:rPr>
        <w:t xml:space="preserve">Clinical Pharmacology &amp; Therapeutics</w:t>
      </w:r>
      <w:r>
        <w:t xml:space="preserve"> </w:t>
      </w:r>
      <w:r>
        <w:rPr>
          <w:b/>
          <w:bCs/>
        </w:rPr>
        <w:t xml:space="preserve">111</w:t>
      </w:r>
      <w:r>
        <w:t xml:space="preserve">, 283–292 (2022).</w:t>
      </w:r>
    </w:p>
    <w:bookmarkEnd w:id="65"/>
    <w:bookmarkStart w:id="66" w:name="ref-ackerman2024measurement"/>
    <w:p>
      <w:pPr>
        <w:pStyle w:val="Bibliography"/>
      </w:pPr>
      <w:r>
        <w:t xml:space="preserve">19.</w:t>
      </w:r>
      <w:r>
        <w:t xml:space="preserve"> </w:t>
      </w:r>
      <w:r>
        <w:t xml:space="preserve">	</w:t>
      </w:r>
      <w:r>
        <w:t xml:space="preserve">Ackerman, B.</w:t>
      </w:r>
      <w:r>
        <w:t xml:space="preserve"> </w:t>
      </w:r>
      <w:r>
        <w:rPr>
          <w:i/>
          <w:iCs/>
        </w:rPr>
        <w:t xml:space="preserve">et al.</w:t>
      </w:r>
      <w:r>
        <w:t xml:space="preserve"> </w:t>
      </w:r>
      <w:r>
        <w:t xml:space="preserve">Measurement error and bias in real-world oncology endpoints when constructing external control arms.</w:t>
      </w:r>
      <w:r>
        <w:t xml:space="preserve"> </w:t>
      </w:r>
      <w:r>
        <w:rPr>
          <w:i/>
          <w:iCs/>
        </w:rPr>
        <w:t xml:space="preserve">Frontiers in Drug Safety and Regulation</w:t>
      </w:r>
      <w:r>
        <w:t xml:space="preserve"> </w:t>
      </w:r>
      <w:r>
        <w:rPr>
          <w:b/>
          <w:bCs/>
        </w:rPr>
        <w:t xml:space="preserve">4</w:t>
      </w:r>
      <w:r>
        <w:t xml:space="preserve">, 1423493 (2024).</w:t>
      </w:r>
    </w:p>
    <w:bookmarkEnd w:id="66"/>
    <w:bookmarkStart w:id="67" w:name="ref-nikolakopoulou2014interpret"/>
    <w:p>
      <w:pPr>
        <w:pStyle w:val="Bibliography"/>
      </w:pPr>
      <w:r>
        <w:t xml:space="preserve">20.</w:t>
      </w:r>
      <w:r>
        <w:t xml:space="preserve"> </w:t>
      </w:r>
      <w:r>
        <w:t xml:space="preserve">	</w:t>
      </w:r>
      <w:r>
        <w:t xml:space="preserve">Nikolakopoulou, A., Mavridis, D. &amp; Salanti, G. How to interpret meta-analysis models: Fixed effect and random effects meta-analyses.</w:t>
      </w:r>
      <w:r>
        <w:t xml:space="preserve"> </w:t>
      </w:r>
      <w:r>
        <w:rPr>
          <w:i/>
          <w:iCs/>
        </w:rPr>
        <w:t xml:space="preserve">BMJ Ment Health</w:t>
      </w:r>
      <w:r>
        <w:t xml:space="preserve"> </w:t>
      </w:r>
      <w:r>
        <w:rPr>
          <w:b/>
          <w:bCs/>
        </w:rPr>
        <w:t xml:space="preserve">17</w:t>
      </w:r>
      <w:r>
        <w:t xml:space="preserve">, 64–64 (2014).</w:t>
      </w:r>
    </w:p>
    <w:bookmarkEnd w:id="67"/>
    <w:bookmarkStart w:id="69" w:name="ref-wang2022harmonized"/>
    <w:p>
      <w:pPr>
        <w:pStyle w:val="Bibliography"/>
      </w:pPr>
      <w:r>
        <w:t xml:space="preserve">21.</w:t>
      </w:r>
      <w:r>
        <w:t xml:space="preserve"> </w:t>
      </w:r>
      <w:r>
        <w:t xml:space="preserve">	</w:t>
      </w:r>
      <w:r>
        <w:t xml:space="preserve">Wang, S. V.</w:t>
      </w:r>
      <w:r>
        <w:t xml:space="preserve"> </w:t>
      </w:r>
      <w:r>
        <w:rPr>
          <w:i/>
          <w:iCs/>
        </w:rPr>
        <w:t xml:space="preserve">et al.</w:t>
      </w:r>
      <w:r>
        <w:t xml:space="preserve"> </w:t>
      </w:r>
      <w:hyperlink r:id="rId68">
        <w:r>
          <w:rPr>
            <w:rStyle w:val="Hyperlink"/>
          </w:rPr>
          <w:t xml:space="preserve">HARmonized protocol template to enhance reproducibility of hypothesis evaluating real-world evidence studies on treatment effects: A good practices report of a joint ISPE/ISPOR task force</w:t>
        </w:r>
      </w:hyperlink>
      <w:r>
        <w:t xml:space="preserve">.</w:t>
      </w:r>
      <w:r>
        <w:t xml:space="preserve"> </w:t>
      </w:r>
      <w:r>
        <w:rPr>
          <w:i/>
          <w:iCs/>
        </w:rPr>
        <w:t xml:space="preserve">Value in Health</w:t>
      </w:r>
      <w:r>
        <w:t xml:space="preserve"> </w:t>
      </w:r>
      <w:r>
        <w:rPr>
          <w:b/>
          <w:bCs/>
        </w:rPr>
        <w:t xml:space="preserve">25</w:t>
      </w:r>
      <w:r>
        <w:t xml:space="preserve">, 1663–1672 (2022).</w:t>
      </w:r>
    </w:p>
    <w:bookmarkEnd w:id="69"/>
    <w:bookmarkStart w:id="70" w:name="ref-guidelinegeneral"/>
    <w:p>
      <w:pPr>
        <w:pStyle w:val="Bibliography"/>
      </w:pPr>
      <w:r>
        <w:t xml:space="preserve">22.</w:t>
      </w:r>
      <w:r>
        <w:t xml:space="preserve"> </w:t>
      </w:r>
      <w:r>
        <w:t xml:space="preserve">	</w:t>
      </w:r>
      <w:r>
        <w:t xml:space="preserve">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r>
        <w:t xml:space="preserve"> </w:t>
      </w:r>
    </w:p>
    <w:bookmarkEnd w:id="70"/>
    <w:bookmarkStart w:id="71" w:name="ref-hernan2022target"/>
    <w:p>
      <w:pPr>
        <w:pStyle w:val="Bibliography"/>
      </w:pPr>
      <w:r>
        <w:t xml:space="preserve">23.</w:t>
      </w:r>
      <w:r>
        <w:t xml:space="preserve"> </w:t>
      </w:r>
      <w:r>
        <w:t xml:space="preserve">	</w:t>
      </w:r>
      <w:r>
        <w:t xml:space="preserve">Hernán, M. A., Wang, W. &amp; Leaf, D. E. Target trial emulation: A framework for causal inference from observational data.</w:t>
      </w:r>
      <w:r>
        <w:t xml:space="preserve"> </w:t>
      </w:r>
      <w:r>
        <w:rPr>
          <w:i/>
          <w:iCs/>
        </w:rPr>
        <w:t xml:space="preserve">Jama</w:t>
      </w:r>
      <w:r>
        <w:t xml:space="preserve"> </w:t>
      </w:r>
      <w:r>
        <w:rPr>
          <w:b/>
          <w:bCs/>
        </w:rPr>
        <w:t xml:space="preserve">328</w:t>
      </w:r>
      <w:r>
        <w:t xml:space="preserve">, 2446–2447 (2022).</w:t>
      </w:r>
    </w:p>
    <w:bookmarkEnd w:id="71"/>
    <w:bookmarkStart w:id="73" w:name="ref-hernan2016specifying"/>
    <w:p>
      <w:pPr>
        <w:pStyle w:val="Bibliography"/>
      </w:pPr>
      <w:r>
        <w:t xml:space="preserve">24.</w:t>
      </w:r>
      <w:r>
        <w:t xml:space="preserve"> </w:t>
      </w:r>
      <w:r>
        <w:t xml:space="preserve">	</w:t>
      </w:r>
      <w:r>
        <w:t xml:space="preserve">Hernán, M. A., Sauer, B. C., Hernández-Dı́az, S., Platt, R. &amp; Shrier, I.</w:t>
      </w:r>
      <w:r>
        <w:t xml:space="preserve"> </w:t>
      </w:r>
      <w:hyperlink r:id="rId72">
        <w:r>
          <w:rPr>
            <w:rStyle w:val="Hyperlink"/>
          </w:rPr>
          <w:t xml:space="preserve">Specifying a target trial prevents immortal time bias and other self-inflicted injuries in observational analyses</w:t>
        </w:r>
      </w:hyperlink>
      <w:r>
        <w:t xml:space="preserve">.</w:t>
      </w:r>
      <w:r>
        <w:t xml:space="preserve"> </w:t>
      </w:r>
      <w:r>
        <w:rPr>
          <w:i/>
          <w:iCs/>
        </w:rPr>
        <w:t xml:space="preserve">Journal of clinical epidemiology</w:t>
      </w:r>
      <w:r>
        <w:t xml:space="preserve"> </w:t>
      </w:r>
      <w:r>
        <w:rPr>
          <w:b/>
          <w:bCs/>
        </w:rPr>
        <w:t xml:space="preserve">79</w:t>
      </w:r>
      <w:r>
        <w:t xml:space="preserve">, 70–75 (2016).</w:t>
      </w:r>
    </w:p>
    <w:bookmarkEnd w:id="73"/>
    <w:bookmarkStart w:id="75" w:name="ref-rufibach2018"/>
    <w:p>
      <w:pPr>
        <w:pStyle w:val="Bibliography"/>
      </w:pPr>
      <w:r>
        <w:t xml:space="preserve">25.</w:t>
      </w:r>
      <w:r>
        <w:t xml:space="preserve"> </w:t>
      </w:r>
      <w:r>
        <w:t xml:space="preserve">	</w:t>
      </w:r>
      <w:r>
        <w:t xml:space="preserve">Rufibach, K.</w:t>
      </w:r>
      <w:r>
        <w:t xml:space="preserve"> </w:t>
      </w:r>
      <w:hyperlink r:id="rId74">
        <w:r>
          <w:rPr>
            <w:rStyle w:val="Hyperlink"/>
          </w:rPr>
          <w:t xml:space="preserve">Treatment effect quantification for time</w:t>
        </w:r>
        <w:r>
          <w:rPr>
            <w:rStyle w:val="Hyperlink"/>
          </w:rPr>
          <w:t xml:space="preserve">-</w:t>
        </w:r>
        <w:r>
          <w:rPr>
            <w:rStyle w:val="Hyperlink"/>
          </w:rPr>
          <w:t xml:space="preserve">to</w:t>
        </w:r>
        <w:r>
          <w:rPr>
            <w:rStyle w:val="Hyperlink"/>
          </w:rPr>
          <w:t xml:space="preserve">-</w:t>
        </w:r>
        <w:r>
          <w:rPr>
            <w:rStyle w:val="Hyperlink"/>
          </w:rPr>
          <w:t xml:space="preserve">event endpoints</w:t>
        </w:r>
        <w:r>
          <w:rPr>
            <w:rStyle w:val="Hyperlink"/>
          </w:rPr>
          <w:t xml:space="preserve">Estimands, analysis strategies, and beyond</w:t>
        </w:r>
      </w:hyperlink>
      <w:r>
        <w:t xml:space="preserve">.</w:t>
      </w:r>
      <w:r>
        <w:t xml:space="preserve"> </w:t>
      </w:r>
      <w:r>
        <w:rPr>
          <w:i/>
          <w:iCs/>
        </w:rPr>
        <w:t xml:space="preserve">Pharmaceutical Statistics</w:t>
      </w:r>
      <w:r>
        <w:t xml:space="preserve"> </w:t>
      </w:r>
      <w:r>
        <w:rPr>
          <w:b/>
          <w:bCs/>
        </w:rPr>
        <w:t xml:space="preserve">18</w:t>
      </w:r>
      <w:r>
        <w:t xml:space="preserve">, 145–165 (2018).</w:t>
      </w:r>
    </w:p>
    <w:bookmarkEnd w:id="75"/>
    <w:bookmarkStart w:id="76" w:name="ref-manitz2022estimands"/>
    <w:p>
      <w:pPr>
        <w:pStyle w:val="Bibliography"/>
      </w:pPr>
      <w:r>
        <w:t xml:space="preserve">26.</w:t>
      </w:r>
      <w:r>
        <w:t xml:space="preserve"> </w:t>
      </w:r>
      <w:r>
        <w:t xml:space="preserve">	</w:t>
      </w:r>
      <w:r>
        <w:t xml:space="preserve">Manitz, J.</w:t>
      </w:r>
      <w:r>
        <w:t xml:space="preserve"> </w:t>
      </w:r>
      <w:r>
        <w:rPr>
          <w:i/>
          <w:iCs/>
        </w:rPr>
        <w:t xml:space="preserve">et al.</w:t>
      </w:r>
      <w:r>
        <w:t xml:space="preserve"> </w:t>
      </w:r>
      <w:r>
        <w:t xml:space="preserve">Estimands for overall survival in clinical trials with treatment switching in oncology.</w:t>
      </w:r>
      <w:r>
        <w:t xml:space="preserve"> </w:t>
      </w:r>
      <w:r>
        <w:rPr>
          <w:i/>
          <w:iCs/>
        </w:rPr>
        <w:t xml:space="preserve">Pharmaceutical Statistics</w:t>
      </w:r>
      <w:r>
        <w:t xml:space="preserve"> </w:t>
      </w:r>
      <w:r>
        <w:rPr>
          <w:b/>
          <w:bCs/>
        </w:rPr>
        <w:t xml:space="preserve">21</w:t>
      </w:r>
      <w:r>
        <w:t xml:space="preserve">, 150–162 (2022).</w:t>
      </w:r>
    </w:p>
    <w:bookmarkEnd w:id="76"/>
    <w:bookmarkStart w:id="77" w:name="ref-meyer2020open"/>
    <w:p>
      <w:pPr>
        <w:pStyle w:val="Bibliography"/>
      </w:pPr>
      <w:r>
        <w:t xml:space="preserve">27.</w:t>
      </w:r>
      <w:r>
        <w:t xml:space="preserve"> </w:t>
      </w:r>
      <w:r>
        <w:t xml:space="preserve">	</w:t>
      </w:r>
      <w:r>
        <w:t xml:space="preserve">Meyer, A.-M., Davies, J., Taylor, M. &amp; Fruechtenicht, C. Open cohorts and ghost-time bias in real world data. In</w:t>
      </w:r>
      <w:r>
        <w:t xml:space="preserve"> </w:t>
      </w:r>
      <w:r>
        <w:rPr>
          <w:i/>
          <w:iCs/>
        </w:rPr>
        <w:t xml:space="preserve">PHARMACOEPIDEMIOLOGY AND DRUG SAFETY</w:t>
      </w:r>
      <w:r>
        <w:t xml:space="preserve"> </w:t>
      </w:r>
      <w:r>
        <w:rPr>
          <w:b/>
          <w:bCs/>
        </w:rPr>
        <w:t xml:space="preserve">29</w:t>
      </w:r>
      <w:r>
        <w:t xml:space="preserve">, 426–426 (WILEY 111 RIVER ST, HOBOKEN 07030-5774, NJ USA, 2020).</w:t>
      </w:r>
    </w:p>
    <w:bookmarkEnd w:id="77"/>
    <w:bookmarkStart w:id="78" w:name="ref-austin2009balance"/>
    <w:p>
      <w:pPr>
        <w:pStyle w:val="Bibliography"/>
      </w:pPr>
      <w:r>
        <w:t xml:space="preserve">28.</w:t>
      </w:r>
      <w:r>
        <w:t xml:space="preserve"> </w:t>
      </w:r>
      <w:r>
        <w:t xml:space="preserve">	</w:t>
      </w:r>
      <w:r>
        <w:t xml:space="preserve">Austin, P. C. Balance diagnostics for comparing the distribution of baseline covariates between treatment groups in propensity-score matched samples.</w:t>
      </w:r>
      <w:r>
        <w:t xml:space="preserve"> </w:t>
      </w:r>
      <w:r>
        <w:rPr>
          <w:i/>
          <w:iCs/>
        </w:rPr>
        <w:t xml:space="preserve">Statistics in medicine</w:t>
      </w:r>
      <w:r>
        <w:t xml:space="preserve"> </w:t>
      </w:r>
      <w:r>
        <w:rPr>
          <w:b/>
          <w:bCs/>
        </w:rPr>
        <w:t xml:space="preserve">28</w:t>
      </w:r>
      <w:r>
        <w:t xml:space="preserve">, 3083–3107 (2009).</w:t>
      </w:r>
    </w:p>
    <w:bookmarkEnd w:id="78"/>
    <w:bookmarkStart w:id="79" w:name="ref-hernan2022causal"/>
    <w:p>
      <w:pPr>
        <w:pStyle w:val="Bibliography"/>
      </w:pPr>
      <w:r>
        <w:t xml:space="preserve">29.</w:t>
      </w:r>
      <w:r>
        <w:t xml:space="preserve"> </w:t>
      </w:r>
      <w:r>
        <w:t xml:space="preserve">	</w:t>
      </w:r>
      <w:r>
        <w:t xml:space="preserve">Hernán, M. A. Causal analyses of existing databases: No power calculations required.</w:t>
      </w:r>
      <w:r>
        <w:t xml:space="preserve"> </w:t>
      </w:r>
      <w:r>
        <w:rPr>
          <w:i/>
          <w:iCs/>
        </w:rPr>
        <w:t xml:space="preserve">Journal of clinical epidemiology</w:t>
      </w:r>
      <w:r>
        <w:t xml:space="preserve"> </w:t>
      </w:r>
      <w:r>
        <w:rPr>
          <w:b/>
          <w:bCs/>
        </w:rPr>
        <w:t xml:space="preserve">144</w:t>
      </w:r>
      <w:r>
        <w:t xml:space="preserve">, 203–205 (2022).</w:t>
      </w:r>
    </w:p>
    <w:bookmarkEnd w:id="79"/>
    <w:bookmarkStart w:id="80" w:name="ref-schoenfeld1981asymptotic"/>
    <w:p>
      <w:pPr>
        <w:pStyle w:val="Bibliography"/>
      </w:pPr>
      <w:r>
        <w:t xml:space="preserve">30.</w:t>
      </w:r>
      <w:r>
        <w:t xml:space="preserve"> </w:t>
      </w:r>
      <w:r>
        <w:t xml:space="preserve">	</w:t>
      </w:r>
      <w:r>
        <w:t xml:space="preserve">Schoenfeld, D. The asymptotic properties of nonparametric tests for comparing survival distributions.</w:t>
      </w:r>
      <w:r>
        <w:t xml:space="preserve"> </w:t>
      </w:r>
      <w:r>
        <w:rPr>
          <w:i/>
          <w:iCs/>
        </w:rPr>
        <w:t xml:space="preserve">Biometrika</w:t>
      </w:r>
      <w:r>
        <w:t xml:space="preserve"> </w:t>
      </w:r>
      <w:r>
        <w:rPr>
          <w:b/>
          <w:bCs/>
        </w:rPr>
        <w:t xml:space="preserve">68</w:t>
      </w:r>
      <w:r>
        <w:t xml:space="preserve">, 316–319 (1981).</w:t>
      </w:r>
    </w:p>
    <w:bookmarkEnd w:id="80"/>
    <w:bookmarkStart w:id="81" w:name="ref-franklin2020nonrandomized"/>
    <w:p>
      <w:pPr>
        <w:pStyle w:val="Bibliography"/>
      </w:pPr>
      <w:r>
        <w:t xml:space="preserve">31.</w:t>
      </w:r>
      <w:r>
        <w:t xml:space="preserve"> </w:t>
      </w:r>
      <w:r>
        <w:t xml:space="preserve">	</w:t>
      </w:r>
      <w:r>
        <w:t xml:space="preserve">Franklin, J. M.</w:t>
      </w:r>
      <w:r>
        <w:t xml:space="preserve"> </w:t>
      </w:r>
      <w:r>
        <w:rPr>
          <w:i/>
          <w:iCs/>
        </w:rPr>
        <w:t xml:space="preserve">et al.</w:t>
      </w:r>
      <w:r>
        <w:t xml:space="preserve"> </w:t>
      </w:r>
      <w:r>
        <w:t xml:space="preserve">Nonrandomized real-world evidence to support regulatory decision making: Process for a randomized trial replication project.</w:t>
      </w:r>
      <w:r>
        <w:t xml:space="preserve"> </w:t>
      </w:r>
      <w:r>
        <w:rPr>
          <w:i/>
          <w:iCs/>
        </w:rPr>
        <w:t xml:space="preserve">Clinical Pharmacology &amp; Therapeutics</w:t>
      </w:r>
      <w:r>
        <w:t xml:space="preserve"> </w:t>
      </w:r>
      <w:r>
        <w:rPr>
          <w:b/>
          <w:bCs/>
        </w:rPr>
        <w:t xml:space="preserve">107</w:t>
      </w:r>
      <w:r>
        <w:t xml:space="preserve">, 817–826 (2020).</w:t>
      </w:r>
    </w:p>
    <w:bookmarkEnd w:id="81"/>
    <w:bookmarkStart w:id="82" w:name="ref-schneeweiss2019graphical"/>
    <w:p>
      <w:pPr>
        <w:pStyle w:val="Bibliography"/>
      </w:pPr>
      <w:r>
        <w:t xml:space="preserve">32.</w:t>
      </w:r>
      <w:r>
        <w:t xml:space="preserve"> </w:t>
      </w:r>
      <w:r>
        <w:t xml:space="preserve">	</w:t>
      </w:r>
      <w:r>
        <w:t xml:space="preserve">Schneeweiss, S.</w:t>
      </w:r>
      <w:r>
        <w:t xml:space="preserve"> </w:t>
      </w:r>
      <w:r>
        <w:rPr>
          <w:i/>
          <w:iCs/>
        </w:rPr>
        <w:t xml:space="preserve">et al.</w:t>
      </w:r>
      <w:r>
        <w:t xml:space="preserve"> </w:t>
      </w:r>
      <w:r>
        <w:t xml:space="preserve">Graphical depiction of longitudinal study designs in health care databases.</w:t>
      </w:r>
      <w:r>
        <w:t xml:space="preserve"> </w:t>
      </w:r>
      <w:r>
        <w:rPr>
          <w:i/>
          <w:iCs/>
        </w:rPr>
        <w:t xml:space="preserve">Annals of internal medicine</w:t>
      </w:r>
      <w:r>
        <w:t xml:space="preserve"> </w:t>
      </w:r>
      <w:r>
        <w:rPr>
          <w:b/>
          <w:bCs/>
        </w:rPr>
        <w:t xml:space="preserve">170</w:t>
      </w:r>
      <w:r>
        <w:t xml:space="preserve">, 398–406 (2019).</w:t>
      </w:r>
    </w:p>
    <w:bookmarkEnd w:id="82"/>
    <w:bookmarkStart w:id="83" w:name="ref-rubin1976inference"/>
    <w:p>
      <w:pPr>
        <w:pStyle w:val="Bibliography"/>
      </w:pPr>
      <w:r>
        <w:t xml:space="preserve">33.</w:t>
      </w:r>
      <w:r>
        <w:t xml:space="preserve"> </w:t>
      </w:r>
      <w:r>
        <w:t xml:space="preserve">	</w:t>
      </w:r>
      <w:r>
        <w:t xml:space="preserve">Rubin, D. B. Inference and missing data.</w:t>
      </w:r>
      <w:r>
        <w:t xml:space="preserve"> </w:t>
      </w:r>
      <w:r>
        <w:rPr>
          <w:i/>
          <w:iCs/>
        </w:rPr>
        <w:t xml:space="preserve">Biometrika</w:t>
      </w:r>
      <w:r>
        <w:t xml:space="preserve"> </w:t>
      </w:r>
      <w:r>
        <w:rPr>
          <w:b/>
          <w:bCs/>
        </w:rPr>
        <w:t xml:space="preserve">63</w:t>
      </w:r>
      <w:r>
        <w:t xml:space="preserve">, 581–592 (1976).</w:t>
      </w:r>
    </w:p>
    <w:bookmarkEnd w:id="83"/>
    <w:bookmarkStart w:id="84" w:name="ref-weberpals2024smdi"/>
    <w:p>
      <w:pPr>
        <w:pStyle w:val="Bibliography"/>
      </w:pPr>
      <w:r>
        <w:t xml:space="preserve">34.</w:t>
      </w:r>
      <w:r>
        <w:t xml:space="preserve"> </w:t>
      </w:r>
      <w:r>
        <w:t xml:space="preserve">	</w:t>
      </w:r>
      <w:r>
        <w:t xml:space="preserve">Weberpals, J.</w:t>
      </w:r>
      <w:r>
        <w:t xml:space="preserve"> </w:t>
      </w:r>
      <w:r>
        <w:rPr>
          <w:i/>
          <w:iCs/>
        </w:rPr>
        <w:t xml:space="preserve">et al.</w:t>
      </w:r>
      <w:r>
        <w:t xml:space="preserve"> </w:t>
      </w:r>
      <w:r>
        <w:t xml:space="preserve">Smdi: An r package to perform structural missing data investigations on partially observed confounders in real-world evidence studies.</w:t>
      </w:r>
      <w:r>
        <w:t xml:space="preserve"> </w:t>
      </w:r>
      <w:r>
        <w:rPr>
          <w:i/>
          <w:iCs/>
        </w:rPr>
        <w:t xml:space="preserve">JAMIA open</w:t>
      </w:r>
      <w:r>
        <w:t xml:space="preserve"> </w:t>
      </w:r>
      <w:r>
        <w:rPr>
          <w:b/>
          <w:bCs/>
        </w:rPr>
        <w:t xml:space="preserve">7</w:t>
      </w:r>
      <w:r>
        <w:t xml:space="preserve">, ooae008 (2024).</w:t>
      </w:r>
    </w:p>
    <w:bookmarkEnd w:id="84"/>
    <w:bookmarkStart w:id="86" w:name="ref-weberpals2024"/>
    <w:p>
      <w:pPr>
        <w:pStyle w:val="Bibliography"/>
      </w:pPr>
      <w:r>
        <w:t xml:space="preserve">35.</w:t>
      </w:r>
      <w:r>
        <w:t xml:space="preserve"> </w:t>
      </w:r>
      <w:r>
        <w:t xml:space="preserve">	</w:t>
      </w:r>
      <w:r>
        <w:t xml:space="preserve">Weberpals, J.</w:t>
      </w:r>
      <w:r>
        <w:t xml:space="preserve"> </w:t>
      </w:r>
      <w:r>
        <w:rPr>
          <w:i/>
          <w:iCs/>
        </w:rPr>
        <w:t xml:space="preserve">et al.</w:t>
      </w:r>
      <w:r>
        <w:t xml:space="preserve"> </w:t>
      </w:r>
      <w:hyperlink r:id="rId85">
        <w:r>
          <w:rPr>
            <w:rStyle w:val="Hyperlink"/>
          </w:rPr>
          <w:t xml:space="preserve">A principled approach to characterize and analyze partially observed confounder data from electronic health records</w:t>
        </w:r>
      </w:hyperlink>
      <w:r>
        <w:t xml:space="preserve">.</w:t>
      </w:r>
      <w:r>
        <w:t xml:space="preserve"> </w:t>
      </w:r>
      <w:r>
        <w:rPr>
          <w:i/>
          <w:iCs/>
        </w:rPr>
        <w:t xml:space="preserve">Clinical Epidemiology</w:t>
      </w:r>
      <w:r>
        <w:t xml:space="preserve"> </w:t>
      </w:r>
      <w:r>
        <w:rPr>
          <w:b/>
          <w:bCs/>
        </w:rPr>
        <w:t xml:space="preserve">16</w:t>
      </w:r>
      <w:r>
        <w:t xml:space="preserve">, 329–343 (2024).</w:t>
      </w:r>
    </w:p>
    <w:bookmarkEnd w:id="86"/>
    <w:bookmarkStart w:id="87" w:name="ref-moreno2018canonical"/>
    <w:p>
      <w:pPr>
        <w:pStyle w:val="Bibliography"/>
      </w:pPr>
      <w:r>
        <w:t xml:space="preserve">36.</w:t>
      </w:r>
      <w:r>
        <w:t xml:space="preserve"> </w:t>
      </w:r>
      <w:r>
        <w:t xml:space="preserve">	</w:t>
      </w:r>
      <w:r>
        <w:t xml:space="preserve">Moreno-Betancur, M.</w:t>
      </w:r>
      <w:r>
        <w:t xml:space="preserve"> </w:t>
      </w:r>
      <w:r>
        <w:rPr>
          <w:i/>
          <w:iCs/>
        </w:rPr>
        <w:t xml:space="preserve">et al.</w:t>
      </w:r>
      <w:r>
        <w:t xml:space="preserve"> </w:t>
      </w:r>
      <w:r>
        <w:t xml:space="preserve">Canonical causal diagrams to guide the treatment of missing data in epidemiologic studies.</w:t>
      </w:r>
      <w:r>
        <w:t xml:space="preserve"> </w:t>
      </w:r>
      <w:r>
        <w:rPr>
          <w:i/>
          <w:iCs/>
        </w:rPr>
        <w:t xml:space="preserve">American journal of epidemiology</w:t>
      </w:r>
      <w:r>
        <w:t xml:space="preserve"> </w:t>
      </w:r>
      <w:r>
        <w:rPr>
          <w:b/>
          <w:bCs/>
        </w:rPr>
        <w:t xml:space="preserve">187</w:t>
      </w:r>
      <w:r>
        <w:t xml:space="preserve">, 2705–2715 (2018).</w:t>
      </w:r>
    </w:p>
    <w:bookmarkEnd w:id="87"/>
    <w:bookmarkStart w:id="88" w:name="ref-tompsett2018use"/>
    <w:p>
      <w:pPr>
        <w:pStyle w:val="Bibliography"/>
      </w:pPr>
      <w:r>
        <w:t xml:space="preserve">37.</w:t>
      </w:r>
      <w:r>
        <w:t xml:space="preserve"> </w:t>
      </w:r>
      <w:r>
        <w:t xml:space="preserve">	</w:t>
      </w:r>
      <w:r>
        <w:t xml:space="preserve">Tompsett, D. M., Leacy, F., Moreno-Betancur, M., Heron, J. &amp; White, I. R. On the use of the not-at-random fully conditional specification (NARFCS) procedure in practice.</w:t>
      </w:r>
      <w:r>
        <w:t xml:space="preserve"> </w:t>
      </w:r>
      <w:r>
        <w:rPr>
          <w:i/>
          <w:iCs/>
        </w:rPr>
        <w:t xml:space="preserve">Statistics in medicine</w:t>
      </w:r>
      <w:r>
        <w:t xml:space="preserve"> </w:t>
      </w:r>
      <w:r>
        <w:rPr>
          <w:b/>
          <w:bCs/>
        </w:rPr>
        <w:t xml:space="preserve">37</w:t>
      </w:r>
      <w:r>
        <w:t xml:space="preserve">, 2338–2353 (2018).</w:t>
      </w:r>
    </w:p>
    <w:bookmarkEnd w:id="88"/>
    <w:bookmarkStart w:id="90" w:name="ref-weberpals2024hdmi"/>
    <w:p>
      <w:pPr>
        <w:pStyle w:val="Bibliography"/>
      </w:pPr>
      <w:r>
        <w:t xml:space="preserve">38.</w:t>
      </w:r>
      <w:r>
        <w:t xml:space="preserve"> </w:t>
      </w:r>
      <w:r>
        <w:t xml:space="preserve">	</w:t>
      </w:r>
      <w:r>
        <w:t xml:space="preserve">Weberpals, J.</w:t>
      </w:r>
      <w:r>
        <w:t xml:space="preserve"> </w:t>
      </w:r>
      <w:r>
        <w:rPr>
          <w:i/>
          <w:iCs/>
        </w:rPr>
        <w:t xml:space="preserve">et al.</w:t>
      </w:r>
      <w:r>
        <w:t xml:space="preserve"> </w:t>
      </w:r>
      <w:r>
        <w:t xml:space="preserve">High-dimensional multiple imputation (HDMI) for partially observed confounders including natural language processing-derived auxiliary covariates.</w:t>
      </w:r>
      <w:r>
        <w:t xml:space="preserve"> </w:t>
      </w:r>
      <w:r>
        <w:rPr>
          <w:i/>
          <w:iCs/>
        </w:rPr>
        <w:t xml:space="preserve">American Journal of Epidemiology</w:t>
      </w:r>
      <w:r>
        <w:t xml:space="preserve"> (2025).at &lt;</w:t>
      </w:r>
      <w:hyperlink r:id="rId89">
        <w:r>
          <w:rPr>
            <w:rStyle w:val="Hyperlink"/>
          </w:rPr>
          <w:t xml:space="preserve">https://arxiv.org/abs/2405.10925</w:t>
        </w:r>
      </w:hyperlink>
      <w:r>
        <w:t xml:space="preserve">&gt;</w:t>
      </w:r>
    </w:p>
    <w:bookmarkEnd w:id="90"/>
    <w:bookmarkStart w:id="92" w:name="ref-Shaw2024"/>
    <w:p>
      <w:pPr>
        <w:pStyle w:val="Bibliography"/>
      </w:pPr>
      <w:r>
        <w:t xml:space="preserve">39.</w:t>
      </w:r>
      <w:r>
        <w:t xml:space="preserve"> </w:t>
      </w:r>
      <w:r>
        <w:t xml:space="preserve">	</w:t>
      </w:r>
      <w:r>
        <w:t xml:space="preserve">Shaw, C. K., P. &amp; Williamson, B. D. Assessing treatment effects in observational data with missing confounders: A comparative study of practical doubly-robust and traditional missing data methods.</w:t>
      </w:r>
      <w:r>
        <w:t xml:space="preserve"> </w:t>
      </w:r>
      <w:r>
        <w:rPr>
          <w:i/>
          <w:iCs/>
        </w:rPr>
        <w:t xml:space="preserve">GitHub repository</w:t>
      </w:r>
      <w:r>
        <w:t xml:space="preserve"> (2024).at &lt;</w:t>
      </w:r>
      <w:hyperlink r:id="rId91">
        <w:r>
          <w:rPr>
            <w:rStyle w:val="Hyperlink"/>
          </w:rPr>
          <w:t xml:space="preserve">https://github.com/PamelaShaw/Missing-Confounders-Methods</w:t>
        </w:r>
      </w:hyperlink>
      <w:r>
        <w:t xml:space="preserve">&gt;</w:t>
      </w:r>
    </w:p>
    <w:bookmarkEnd w:id="92"/>
    <w:bookmarkStart w:id="93" w:name="ref-cox1972regression"/>
    <w:p>
      <w:pPr>
        <w:pStyle w:val="Bibliography"/>
      </w:pPr>
      <w:r>
        <w:t xml:space="preserve">40.</w:t>
      </w:r>
      <w:r>
        <w:t xml:space="preserve"> </w:t>
      </w:r>
      <w:r>
        <w:t xml:space="preserve">	</w:t>
      </w:r>
      <w:r>
        <w:t xml:space="preserve">Cox, D. R. Regression models and life-tables. Journal of the royal statistical society.</w:t>
      </w:r>
      <w:r>
        <w:t xml:space="preserve"> </w:t>
      </w:r>
      <w:r>
        <w:rPr>
          <w:i/>
          <w:iCs/>
        </w:rPr>
        <w:t xml:space="preserve">Series B (Methodological)</w:t>
      </w:r>
      <w:r>
        <w:t xml:space="preserve"> </w:t>
      </w:r>
      <w:r>
        <w:rPr>
          <w:b/>
          <w:bCs/>
        </w:rPr>
        <w:t xml:space="preserve">34</w:t>
      </w:r>
      <w:r>
        <w:t xml:space="preserve">, 187–220 (1972).</w:t>
      </w:r>
    </w:p>
    <w:bookmarkEnd w:id="93"/>
    <w:bookmarkStart w:id="94" w:name="ref-kaplan1958nonparametric"/>
    <w:p>
      <w:pPr>
        <w:pStyle w:val="Bibliography"/>
      </w:pPr>
      <w:r>
        <w:t xml:space="preserve">41.</w:t>
      </w:r>
      <w:r>
        <w:t xml:space="preserve"> </w:t>
      </w:r>
      <w:r>
        <w:t xml:space="preserve">	</w:t>
      </w:r>
      <w:r>
        <w:t xml:space="preserve">Kaplan, E. L. &amp; Meier, P. Nonparametric estimation from incomplete observations.</w:t>
      </w:r>
      <w:r>
        <w:t xml:space="preserve"> </w:t>
      </w:r>
      <w:r>
        <w:rPr>
          <w:i/>
          <w:iCs/>
        </w:rPr>
        <w:t xml:space="preserve">Journal of the American statistical association</w:t>
      </w:r>
      <w:r>
        <w:t xml:space="preserve"> </w:t>
      </w:r>
      <w:r>
        <w:rPr>
          <w:b/>
          <w:bCs/>
        </w:rPr>
        <w:t xml:space="preserve">53</w:t>
      </w:r>
      <w:r>
        <w:t xml:space="preserve">, 457–481 (1958).</w:t>
      </w:r>
    </w:p>
    <w:bookmarkEnd w:id="94"/>
    <w:bookmarkStart w:id="95" w:name="ref-becker2020enhanced"/>
    <w:p>
      <w:pPr>
        <w:pStyle w:val="Bibliography"/>
      </w:pPr>
      <w:r>
        <w:t xml:space="preserve">42.</w:t>
      </w:r>
      <w:r>
        <w:t xml:space="preserve"> </w:t>
      </w:r>
      <w:r>
        <w:t xml:space="preserve">	</w:t>
      </w:r>
      <w:r>
        <w:t xml:space="preserve">Becker, T.</w:t>
      </w:r>
      <w:r>
        <w:t xml:space="preserve"> </w:t>
      </w:r>
      <w:r>
        <w:rPr>
          <w:i/>
          <w:iCs/>
        </w:rPr>
        <w:t xml:space="preserve">et al.</w:t>
      </w:r>
      <w:r>
        <w:t xml:space="preserve"> </w:t>
      </w:r>
      <w:r>
        <w:t xml:space="preserve">An enhanced prognostic score for overall survival of patients with cancer derived from a large real-world cohort.</w:t>
      </w:r>
      <w:r>
        <w:t xml:space="preserve"> </w:t>
      </w:r>
      <w:r>
        <w:rPr>
          <w:i/>
          <w:iCs/>
        </w:rPr>
        <w:t xml:space="preserve">Annals of Oncology</w:t>
      </w:r>
      <w:r>
        <w:t xml:space="preserve"> </w:t>
      </w:r>
      <w:r>
        <w:rPr>
          <w:b/>
          <w:bCs/>
        </w:rPr>
        <w:t xml:space="preserve">31</w:t>
      </w:r>
      <w:r>
        <w:t xml:space="preserve">, 1561–1568 (2020).</w:t>
      </w:r>
    </w:p>
    <w:bookmarkEnd w:id="95"/>
    <w:bookmarkStart w:id="96" w:name="ref-leyrat2019propensity"/>
    <w:p>
      <w:pPr>
        <w:pStyle w:val="Bibliography"/>
      </w:pPr>
      <w:r>
        <w:t xml:space="preserve">43.</w:t>
      </w:r>
      <w:r>
        <w:t xml:space="preserve"> </w:t>
      </w:r>
      <w:r>
        <w:t xml:space="preserve">	</w:t>
      </w:r>
      <w:r>
        <w:t xml:space="preserve">Leyrat, C.</w:t>
      </w:r>
      <w:r>
        <w:t xml:space="preserve"> </w:t>
      </w:r>
      <w:r>
        <w:rPr>
          <w:i/>
          <w:iCs/>
        </w:rPr>
        <w:t xml:space="preserve">et al.</w:t>
      </w:r>
      <w:r>
        <w:t xml:space="preserve"> </w:t>
      </w:r>
      <w:r>
        <w:t xml:space="preserve">Propensity score analysis with partially observed covariates: How should multiple imputation be used?</w:t>
      </w:r>
      <w:r>
        <w:t xml:space="preserve"> </w:t>
      </w:r>
      <w:r>
        <w:rPr>
          <w:i/>
          <w:iCs/>
        </w:rPr>
        <w:t xml:space="preserve">Statistical methods in medical research</w:t>
      </w:r>
      <w:r>
        <w:t xml:space="preserve"> </w:t>
      </w:r>
      <w:r>
        <w:rPr>
          <w:b/>
          <w:bCs/>
        </w:rPr>
        <w:t xml:space="preserve">28</w:t>
      </w:r>
      <w:r>
        <w:t xml:space="preserve">, 3–19 (2019).</w:t>
      </w:r>
    </w:p>
    <w:bookmarkEnd w:id="96"/>
    <w:bookmarkStart w:id="97" w:name="ref-pishgar2020matchthem"/>
    <w:p>
      <w:pPr>
        <w:pStyle w:val="Bibliography"/>
      </w:pPr>
      <w:r>
        <w:t xml:space="preserve">44.</w:t>
      </w:r>
      <w:r>
        <w:t xml:space="preserve"> </w:t>
      </w:r>
      <w:r>
        <w:t xml:space="preserve">	</w:t>
      </w:r>
      <w:r>
        <w:t xml:space="preserve">Pishgar, F., Greifer, N., Leyrat, C. &amp; Stuart, E. MatchThem:: Matching and weighting after multiple imputation.</w:t>
      </w:r>
      <w:r>
        <w:t xml:space="preserve"> </w:t>
      </w:r>
      <w:r>
        <w:rPr>
          <w:i/>
          <w:iCs/>
        </w:rPr>
        <w:t xml:space="preserve">arXiv preprint arXiv:2009.11772</w:t>
      </w:r>
      <w:r>
        <w:t xml:space="preserve"> (2020).</w:t>
      </w:r>
    </w:p>
    <w:bookmarkEnd w:id="97"/>
    <w:bookmarkStart w:id="98" w:name="ref-rubin2018multiple"/>
    <w:p>
      <w:pPr>
        <w:pStyle w:val="Bibliography"/>
      </w:pPr>
      <w:r>
        <w:t xml:space="preserve">45.</w:t>
      </w:r>
      <w:r>
        <w:t xml:space="preserve"> </w:t>
      </w:r>
      <w:r>
        <w:t xml:space="preserve">	</w:t>
      </w:r>
      <w:r>
        <w:t xml:space="preserve">Rubin, D. B. Multiple imputation. In</w:t>
      </w:r>
      <w:r>
        <w:t xml:space="preserve"> </w:t>
      </w:r>
      <w:r>
        <w:rPr>
          <w:i/>
          <w:iCs/>
        </w:rPr>
        <w:t xml:space="preserve">Flexible imputation of missing data, second edition</w:t>
      </w:r>
      <w:r>
        <w:t xml:space="preserve"> </w:t>
      </w:r>
      <w:r>
        <w:t xml:space="preserve">29–62 (Chapman; Hall/CRC, 2018).</w:t>
      </w:r>
    </w:p>
    <w:bookmarkEnd w:id="98"/>
    <w:bookmarkStart w:id="99" w:name="ref-van2011mice"/>
    <w:p>
      <w:pPr>
        <w:pStyle w:val="Bibliography"/>
      </w:pPr>
      <w:r>
        <w:t xml:space="preserve">46.</w:t>
      </w:r>
      <w:r>
        <w:t xml:space="preserve"> </w:t>
      </w:r>
      <w:r>
        <w:t xml:space="preserve">	</w:t>
      </w:r>
      <w:r>
        <w:t xml:space="preserve">Van Buuren, S. &amp; Groothuis-Oudshoorn, K. Mice: Multivariate imputation by chained equations in r.</w:t>
      </w:r>
      <w:r>
        <w:t xml:space="preserve"> </w:t>
      </w:r>
      <w:r>
        <w:rPr>
          <w:i/>
          <w:iCs/>
        </w:rPr>
        <w:t xml:space="preserve">Journal of statistical software</w:t>
      </w:r>
      <w:r>
        <w:t xml:space="preserve"> </w:t>
      </w:r>
      <w:r>
        <w:rPr>
          <w:b/>
          <w:bCs/>
        </w:rPr>
        <w:t xml:space="preserve">45</w:t>
      </w:r>
      <w:r>
        <w:t xml:space="preserve">, 1–67 (2011).</w:t>
      </w:r>
    </w:p>
    <w:bookmarkEnd w:id="99"/>
    <w:bookmarkStart w:id="100" w:name="ref-franklin2014metrics"/>
    <w:p>
      <w:pPr>
        <w:pStyle w:val="Bibliography"/>
      </w:pPr>
      <w:r>
        <w:t xml:space="preserve">47.</w:t>
      </w:r>
      <w:r>
        <w:t xml:space="preserve"> </w:t>
      </w:r>
      <w:r>
        <w:t xml:space="preserve">	</w:t>
      </w:r>
      <w:r>
        <w:t xml:space="preserve">Franklin, J. M., Rassen, J. A., Ackermann, D., Bartels, D. B. &amp; Schneeweiss, S. Metrics for covariate balance in cohort studies of causal effects.</w:t>
      </w:r>
      <w:r>
        <w:t xml:space="preserve"> </w:t>
      </w:r>
      <w:r>
        <w:rPr>
          <w:i/>
          <w:iCs/>
        </w:rPr>
        <w:t xml:space="preserve">Statistics in medicine</w:t>
      </w:r>
      <w:r>
        <w:t xml:space="preserve"> </w:t>
      </w:r>
      <w:r>
        <w:rPr>
          <w:b/>
          <w:bCs/>
        </w:rPr>
        <w:t xml:space="preserve">33</w:t>
      </w:r>
      <w:r>
        <w:t xml:space="preserve">, 1685–1699 (2014).</w:t>
      </w:r>
    </w:p>
    <w:bookmarkEnd w:id="100"/>
    <w:bookmarkStart w:id="101" w:name="ref-stuart2013prognostic"/>
    <w:p>
      <w:pPr>
        <w:pStyle w:val="Bibliography"/>
      </w:pPr>
      <w:r>
        <w:t xml:space="preserve">48.</w:t>
      </w:r>
      <w:r>
        <w:t xml:space="preserve"> </w:t>
      </w:r>
      <w:r>
        <w:t xml:space="preserve">	</w:t>
      </w:r>
      <w:r>
        <w:t xml:space="preserve">Stuart, E. A., Lee, B. K. &amp; Leacy, F. P. Prognostic score–based balance measures can be a useful diagnostic for propensity score methods in comparative effectiveness research.</w:t>
      </w:r>
      <w:r>
        <w:t xml:space="preserve"> </w:t>
      </w:r>
      <w:r>
        <w:rPr>
          <w:i/>
          <w:iCs/>
        </w:rPr>
        <w:t xml:space="preserve">Journal of clinical epidemiology</w:t>
      </w:r>
      <w:r>
        <w:t xml:space="preserve"> </w:t>
      </w:r>
      <w:r>
        <w:rPr>
          <w:b/>
          <w:bCs/>
        </w:rPr>
        <w:t xml:space="preserve">66</w:t>
      </w:r>
      <w:r>
        <w:t xml:space="preserve">, S84–S90 (2013).</w:t>
      </w:r>
    </w:p>
    <w:bookmarkEnd w:id="101"/>
    <w:bookmarkStart w:id="103" w:name="ref-warwick28685"/>
    <w:p>
      <w:pPr>
        <w:pStyle w:val="Bibliography"/>
      </w:pPr>
      <w:r>
        <w:t xml:space="preserve">49.</w:t>
      </w:r>
      <w:r>
        <w:t xml:space="preserve"> </w:t>
      </w:r>
      <w:r>
        <w:t xml:space="preserve">	</w:t>
      </w:r>
      <w:r>
        <w:t xml:space="preserve">Marshall, A. (Andrea)., Billingham, L. J. &amp; Bryan, S.</w:t>
      </w:r>
      <w:r>
        <w:t xml:space="preserve"> </w:t>
      </w:r>
      <w:hyperlink r:id="rId102">
        <w:r>
          <w:rPr>
            <w:rStyle w:val="Hyperlink"/>
          </w:rPr>
          <w:t xml:space="preserve">Can we afford to ignore missing data in cost-effectiveness analyses?</w:t>
        </w:r>
      </w:hyperlink>
      <w:r>
        <w:t xml:space="preserve"> </w:t>
      </w:r>
      <w:r>
        <w:rPr>
          <w:i/>
          <w:iCs/>
        </w:rPr>
        <w:t xml:space="preserve">European Journal of Health Economics</w:t>
      </w:r>
      <w:r>
        <w:t xml:space="preserve"> </w:t>
      </w:r>
      <w:r>
        <w:rPr>
          <w:b/>
          <w:bCs/>
        </w:rPr>
        <w:t xml:space="preserve">Vol.10</w:t>
      </w:r>
      <w:r>
        <w:t xml:space="preserve">, 1–3 (2009).</w:t>
      </w:r>
    </w:p>
    <w:bookmarkEnd w:id="103"/>
    <w:bookmarkStart w:id="104" w:name="ref-morisot2015prostate"/>
    <w:p>
      <w:pPr>
        <w:pStyle w:val="Bibliography"/>
      </w:pPr>
      <w:r>
        <w:t xml:space="preserve">50.</w:t>
      </w:r>
      <w:r>
        <w:t xml:space="preserve"> </w:t>
      </w:r>
      <w:r>
        <w:t xml:space="preserve">	</w:t>
      </w:r>
      <w:r>
        <w:t xml:space="preserve">Morisot, A.</w:t>
      </w:r>
      <w:r>
        <w:t xml:space="preserve"> </w:t>
      </w:r>
      <w:r>
        <w:rPr>
          <w:i/>
          <w:iCs/>
        </w:rPr>
        <w:t xml:space="preserve">et al.</w:t>
      </w:r>
      <w:r>
        <w:t xml:space="preserve"> </w:t>
      </w:r>
      <w:r>
        <w:t xml:space="preserve">Prostate cancer: Net survival and cause-specific survival rates after multiple imputation.</w:t>
      </w:r>
      <w:r>
        <w:t xml:space="preserve"> </w:t>
      </w:r>
      <w:r>
        <w:rPr>
          <w:i/>
          <w:iCs/>
        </w:rPr>
        <w:t xml:space="preserve">BMC medical research methodology</w:t>
      </w:r>
      <w:r>
        <w:t xml:space="preserve"> </w:t>
      </w:r>
      <w:r>
        <w:rPr>
          <w:b/>
          <w:bCs/>
        </w:rPr>
        <w:t xml:space="preserve">15</w:t>
      </w:r>
      <w:r>
        <w:t xml:space="preserve">, 1–14 (2015).</w:t>
      </w:r>
    </w:p>
    <w:bookmarkEnd w:id="104"/>
    <w:bookmarkStart w:id="105" w:name="ref-anesrake"/>
    <w:p>
      <w:pPr>
        <w:pStyle w:val="Bibliography"/>
      </w:pPr>
      <w:r>
        <w:t xml:space="preserve">51.</w:t>
      </w:r>
      <w:r>
        <w:t xml:space="preserve"> </w:t>
      </w:r>
      <w:r>
        <w:t xml:space="preserve">	</w:t>
      </w:r>
      <w:r>
        <w:t xml:space="preserve">Pasek, J. Anesrake: ANES raking implementation. (2018).</w:t>
      </w:r>
    </w:p>
    <w:bookmarkEnd w:id="105"/>
    <w:bookmarkStart w:id="107" w:name="ref-MatchThem"/>
    <w:p>
      <w:pPr>
        <w:pStyle w:val="Bibliography"/>
      </w:pPr>
      <w:r>
        <w:t xml:space="preserve">52.</w:t>
      </w:r>
      <w:r>
        <w:t xml:space="preserve"> </w:t>
      </w:r>
      <w:r>
        <w:t xml:space="preserve">	</w:t>
      </w:r>
      <w:r>
        <w:t xml:space="preserve">Pishgar, F., Greifer, N., Leyrat, C. &amp; Stuart, E. MatchThem:: Matching and weighting after multiple imputation. (2021).doi:</w:t>
      </w:r>
      <w:hyperlink r:id="rId106">
        <w:r>
          <w:rPr>
            <w:rStyle w:val="Hyperlink"/>
          </w:rPr>
          <w:t xml:space="preserve">10.32614/RJ-2021-073</w:t>
        </w:r>
      </w:hyperlink>
    </w:p>
    <w:bookmarkEnd w:id="107"/>
    <w:bookmarkStart w:id="109" w:name="ref-survival"/>
    <w:p>
      <w:pPr>
        <w:pStyle w:val="Bibliography"/>
      </w:pPr>
      <w:r>
        <w:t xml:space="preserve">53.</w:t>
      </w:r>
      <w:r>
        <w:t xml:space="preserve"> </w:t>
      </w:r>
      <w:r>
        <w:t xml:space="preserve">	</w:t>
      </w:r>
      <w:r>
        <w:t xml:space="preserve">Therneau, T. M. A package for survival analysis in r. (2024).at &lt;</w:t>
      </w:r>
      <w:hyperlink r:id="rId108">
        <w:r>
          <w:rPr>
            <w:rStyle w:val="Hyperlink"/>
          </w:rPr>
          <w:t xml:space="preserve">https://CRAN.R-project.org/package=survival</w:t>
        </w:r>
      </w:hyperlink>
      <w:r>
        <w:t xml:space="preserve">&gt;</w:t>
      </w:r>
    </w:p>
    <w:bookmarkEnd w:id="109"/>
    <w:bookmarkStart w:id="111" w:name="ref-encore.analytics"/>
    <w:p>
      <w:pPr>
        <w:pStyle w:val="Bibliography"/>
      </w:pPr>
      <w:r>
        <w:t xml:space="preserve">54.</w:t>
      </w:r>
      <w:r>
        <w:t xml:space="preserve"> </w:t>
      </w:r>
      <w:r>
        <w:t xml:space="preserve">	</w:t>
      </w:r>
      <w:r>
        <w:t xml:space="preserve">Weberpals, J. Encore.analytics: Functions and wrappers to streamline complex analytic workflows in real-world data studies based on the ENCORE trial emulation project. (2025).at &lt;</w:t>
      </w:r>
      <w:hyperlink r:id="rId110">
        <w:r>
          <w:rPr>
            <w:rStyle w:val="Hyperlink"/>
          </w:rPr>
          <w:t xml:space="preserve">https://github.com/janickweberpals/encore.analytics</w:t>
        </w:r>
      </w:hyperlink>
      <w:r>
        <w:t xml:space="preserve">&gt;</w:t>
      </w:r>
    </w:p>
    <w:bookmarkEnd w:id="111"/>
    <w:bookmarkStart w:id="113" w:name="ref-gtsummary"/>
    <w:p>
      <w:pPr>
        <w:pStyle w:val="Bibliography"/>
      </w:pPr>
      <w:r>
        <w:t xml:space="preserve">55.</w:t>
      </w:r>
      <w:r>
        <w:t xml:space="preserve"> </w:t>
      </w:r>
      <w:r>
        <w:t xml:space="preserve">	</w:t>
      </w:r>
      <w:r>
        <w:t xml:space="preserve">Sjoberg, D. D., Whiting, K., Curry, M., Lavery, J. A. &amp; Larmarange, J.</w:t>
      </w:r>
      <w:r>
        <w:t xml:space="preserve"> </w:t>
      </w:r>
      <w:hyperlink r:id="rId112">
        <w:r>
          <w:rPr>
            <w:rStyle w:val="Hyperlink"/>
          </w:rPr>
          <w:t xml:space="preserve">Reproducible summary tables with the gtsummary package</w:t>
        </w:r>
      </w:hyperlink>
      <w:r>
        <w:t xml:space="preserve">.</w:t>
      </w:r>
      <w:r>
        <w:t xml:space="preserve"> </w:t>
      </w:r>
      <w:r>
        <w:rPr>
          <w:b/>
          <w:bCs/>
        </w:rPr>
        <w:t xml:space="preserve">13</w:t>
      </w:r>
      <w:r>
        <w:t xml:space="preserve">, 570–580 (2021).</w:t>
      </w:r>
    </w:p>
    <w:bookmarkEnd w:id="113"/>
    <w:bookmarkStart w:id="115" w:name="ref-ggsurvfit"/>
    <w:p>
      <w:pPr>
        <w:pStyle w:val="Bibliography"/>
      </w:pPr>
      <w:r>
        <w:t xml:space="preserve">56.</w:t>
      </w:r>
      <w:r>
        <w:t xml:space="preserve"> </w:t>
      </w:r>
      <w:r>
        <w:t xml:space="preserve">	</w:t>
      </w:r>
      <w:r>
        <w:t xml:space="preserve">Sjoberg, D. D., Baillie, M., Fruechtenicht, C., Haesendonckx, S. &amp; Treis, T. Ggsurvfit: Flexible time-to-event figures. (2024).at &lt;</w:t>
      </w:r>
      <w:hyperlink r:id="rId114">
        <w:r>
          <w:rPr>
            <w:rStyle w:val="Hyperlink"/>
          </w:rPr>
          <w:t xml:space="preserve">https://github.com/pharmaverse/ggsurvfit</w:t>
        </w:r>
      </w:hyperlink>
      <w:r>
        <w:t xml:space="preserve">&gt;</w:t>
      </w:r>
    </w:p>
    <w:bookmarkEnd w:id="115"/>
    <w:bookmarkStart w:id="116" w:name="ref-gaber2024mystifying"/>
    <w:p>
      <w:pPr>
        <w:pStyle w:val="Bibliography"/>
      </w:pPr>
      <w:r>
        <w:t xml:space="preserve">57.</w:t>
      </w:r>
      <w:r>
        <w:t xml:space="preserve"> </w:t>
      </w:r>
      <w:r>
        <w:t xml:space="preserve">	</w:t>
      </w:r>
      <w:r>
        <w:t xml:space="preserve">Gaber, C. E.</w:t>
      </w:r>
      <w:r>
        <w:t xml:space="preserve"> </w:t>
      </w:r>
      <w:r>
        <w:rPr>
          <w:i/>
          <w:iCs/>
        </w:rPr>
        <w:t xml:space="preserve">et al.</w:t>
      </w:r>
      <w:r>
        <w:t xml:space="preserve"> </w:t>
      </w:r>
      <w:r>
        <w:t xml:space="preserve">De-mystifying the clone-censor-weight method for causal research using observational data: A primer for cancer researchers.</w:t>
      </w:r>
      <w:r>
        <w:t xml:space="preserve"> </w:t>
      </w:r>
      <w:r>
        <w:rPr>
          <w:i/>
          <w:iCs/>
        </w:rPr>
        <w:t xml:space="preserve">Cancer Medicine</w:t>
      </w:r>
      <w:r>
        <w:t xml:space="preserve"> </w:t>
      </w:r>
      <w:r>
        <w:rPr>
          <w:b/>
          <w:bCs/>
        </w:rPr>
        <w:t xml:space="preserve">13</w:t>
      </w:r>
      <w:r>
        <w:t xml:space="preserve">, e70461 (2024).</w:t>
      </w:r>
    </w:p>
    <w:bookmarkEnd w:id="116"/>
    <w:bookmarkEnd w:id="117"/>
    <w:p>
      <w:r>
        <w:br w:type="page"/>
      </w:r>
    </w:p>
    <w:bookmarkEnd w:id="118"/>
    <w:bookmarkStart w:id="13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2" w:name="tbl-criteria"/>
          <w:p>
            <w:pPr>
              <w:jc w:val="center"/>
            </w:pPr>
            <w:pPr>
              <w:jc w:val="left"/>
              <w:spacing w:before="200"/>
              <w:pStyle w:val="ImageCaption"/>
            </w:pPr>
            <w:r>
              <w:t xml:space="preserve">Table 1: Criteria to select eligible trials for emulation in ENCORE.</w:t>
            </w:r>
          </w:p>
          <w:p>
            <w:pPr>
              <w:jc w:val="center"/>
            </w:pPr>
            <w:r>
              <w:drawing>
                <wp:inline>
                  <wp:extent cx="5943600" cy="5414333"/>
                  <wp:effectExtent b="0" l="0" r="0" t="0"/>
                  <wp:docPr descr="" title="" id="120" name="Picture"/>
                  <a:graphic>
                    <a:graphicData uri="http://schemas.openxmlformats.org/drawingml/2006/picture">
                      <pic:pic>
                        <pic:nvPicPr>
                          <pic:cNvPr descr="../tables/Table_1_trial_eligibility.png" id="121" name="Picture"/>
                          <pic:cNvPicPr>
                            <a:picLocks noChangeArrowheads="1" noChangeAspect="1"/>
                          </pic:cNvPicPr>
                        </pic:nvPicPr>
                        <pic:blipFill>
                          <a:blip r:embed="rId119"/>
                          <a:stretch>
                            <a:fillRect/>
                          </a:stretch>
                        </pic:blipFill>
                        <pic:spPr bwMode="auto">
                          <a:xfrm>
                            <a:off x="0" y="0"/>
                            <a:ext cx="5943600" cy="5414333"/>
                          </a:xfrm>
                          <a:prstGeom prst="rect">
                            <a:avLst/>
                          </a:prstGeom>
                          <a:noFill/>
                          <a:ln w="9525">
                            <a:noFill/>
                            <a:headEnd/>
                            <a:tailEnd/>
                          </a:ln>
                        </pic:spPr>
                      </pic:pic>
                    </a:graphicData>
                  </a:graphic>
                </wp:inline>
              </w:drawing>
            </w:r>
          </w:p>
          <w:bookmarkEnd w:id="122"/>
        </w:tc>
      </w:tr>
    </w:tbl>
    <w:p>
      <w:r>
        <w:br w:type="page"/>
      </w:r>
    </w:p>
    <w:tbl>
      <w:tblPr>
        <w:tblStyle w:val="Table"/>
        <w:tblW w:type="pct" w:w="5000"/>
        <w:tblLayout w:type="fixed"/>
        <w:tblLook w:firstRow="0" w:lastRow="0" w:firstColumn="0" w:lastColumn="0" w:noHBand="0" w:noVBand="0" w:val="0000"/>
      </w:tblPr>
      <w:tblGrid>
        <w:gridCol w:w="7920"/>
      </w:tblGrid>
      <w:tr>
        <w:tc>
          <w:tcPr/>
          <w:bookmarkStart w:id="126" w:name="tbl-rcts"/>
          <w:p>
            <w:pPr>
              <w:jc w:val="center"/>
            </w:pPr>
            <w:pPr>
              <w:jc w:val="lef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4" name="Picture"/>
                  <a:graphic>
                    <a:graphicData uri="http://schemas.openxmlformats.org/drawingml/2006/picture">
                      <pic:pic>
                        <pic:nvPicPr>
                          <pic:cNvPr descr="../tables/Table_2_trial_selection.png" id="125" name="Picture"/>
                          <pic:cNvPicPr>
                            <a:picLocks noChangeArrowheads="1" noChangeAspect="1"/>
                          </pic:cNvPicPr>
                        </pic:nvPicPr>
                        <pic:blipFill>
                          <a:blip r:embed="rId123"/>
                          <a:stretch>
                            <a:fillRect/>
                          </a:stretch>
                        </pic:blipFill>
                        <pic:spPr bwMode="auto">
                          <a:xfrm>
                            <a:off x="0" y="0"/>
                            <a:ext cx="5943600" cy="6065270"/>
                          </a:xfrm>
                          <a:prstGeom prst="rect">
                            <a:avLst/>
                          </a:prstGeom>
                          <a:noFill/>
                          <a:ln w="9525">
                            <a:noFill/>
                            <a:headEnd/>
                            <a:tailEnd/>
                          </a:ln>
                        </pic:spPr>
                      </pic:pic>
                    </a:graphicData>
                  </a:graphic>
                </wp:inline>
              </w:drawing>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tbl-metrics"/>
          <w:p>
            <w:pPr>
              <w:jc w:val="center"/>
            </w:pPr>
            <w:pPr>
              <w:jc w:val="left"/>
              <w:spacing w:before="200"/>
              <w:pStyle w:val="ImageCaption"/>
            </w:pPr>
            <w:r>
              <w:t xml:space="preserve">Table 3: Example visualization of agreement metrics.</w:t>
            </w:r>
          </w:p>
          <w:p>
            <w:pPr>
              <w:jc w:val="center"/>
            </w:pPr>
            <w:r>
              <w:drawing>
                <wp:inline>
                  <wp:extent cx="5943600" cy="1659654"/>
                  <wp:effectExtent b="0" l="0" r="0" t="0"/>
                  <wp:docPr descr="" title="" id="128" name="Picture"/>
                  <a:graphic>
                    <a:graphicData uri="http://schemas.openxmlformats.org/drawingml/2006/picture">
                      <pic:pic>
                        <pic:nvPicPr>
                          <pic:cNvPr descr="../tables/Table_3_agreement_metrics.png" id="129" name="Picture"/>
                          <pic:cNvPicPr>
                            <a:picLocks noChangeArrowheads="1" noChangeAspect="1"/>
                          </pic:cNvPicPr>
                        </pic:nvPicPr>
                        <pic:blipFill>
                          <a:blip r:embed="rId127"/>
                          <a:stretch>
                            <a:fillRect/>
                          </a:stretch>
                        </pic:blipFill>
                        <pic:spPr bwMode="auto">
                          <a:xfrm>
                            <a:off x="0" y="0"/>
                            <a:ext cx="5943600" cy="1659654"/>
                          </a:xfrm>
                          <a:prstGeom prst="rect">
                            <a:avLst/>
                          </a:prstGeom>
                          <a:noFill/>
                          <a:ln w="9525">
                            <a:noFill/>
                            <a:headEnd/>
                            <a:tailEnd/>
                          </a:ln>
                        </pic:spPr>
                      </pic:pic>
                    </a:graphicData>
                  </a:graphic>
                </wp:inline>
              </w:drawing>
            </w:r>
          </w:p>
          <w:bookmarkEnd w:id="130"/>
        </w:tc>
      </w:tr>
    </w:tbl>
    <w:p>
      <w:r>
        <w:br w:type="page"/>
      </w:r>
    </w:p>
    <w:bookmarkEnd w:id="131"/>
    <w:bookmarkStart w:id="147"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5" w:name="fig-process"/>
          <w:p>
            <w:pPr>
              <w:jc w:val="center"/>
            </w:pPr>
            <w:pPr>
              <w:jc w:val="lef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3" name="Picture"/>
                  <a:graphic>
                    <a:graphicData uri="http://schemas.openxmlformats.org/drawingml/2006/picture">
                      <pic:pic>
                        <pic:nvPicPr>
                          <pic:cNvPr descr="../figures/process.png" id="134" name="Picture"/>
                          <pic:cNvPicPr>
                            <a:picLocks noChangeArrowheads="1" noChangeAspect="1"/>
                          </pic:cNvPicPr>
                        </pic:nvPicPr>
                        <pic:blipFill>
                          <a:blip r:embed="rId132"/>
                          <a:stretch>
                            <a:fillRect/>
                          </a:stretch>
                        </pic:blipFill>
                        <pic:spPr bwMode="auto">
                          <a:xfrm>
                            <a:off x="0" y="0"/>
                            <a:ext cx="5943600" cy="3343275"/>
                          </a:xfrm>
                          <a:prstGeom prst="rect">
                            <a:avLst/>
                          </a:prstGeom>
                          <a:noFill/>
                          <a:ln w="9525">
                            <a:noFill/>
                            <a:headEnd/>
                            <a:tailEnd/>
                          </a:ln>
                        </pic:spPr>
                      </pic:pic>
                    </a:graphicData>
                  </a:graphic>
                </wp:inline>
              </w:drawing>
            </w:r>
          </w:p>
          <w:bookmarkEnd w:id="135"/>
        </w:tc>
      </w:tr>
    </w:tbl>
    <w:p>
      <w:pPr>
        <w:pStyle w:val="BodyText"/>
      </w:pPr>
      <w:hyperlink r:id="rId136">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0" w:name="fig-initiators"/>
          <w:p>
            <w:pPr>
              <w:jc w:val="center"/>
            </w:pPr>
            <w:pPr>
              <w:jc w:val="lef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8" name="Picture"/>
                  <a:graphic>
                    <a:graphicData uri="http://schemas.openxmlformats.org/drawingml/2006/picture">
                      <pic:pic>
                        <pic:nvPicPr>
                          <pic:cNvPr descr="Figure_2_utlization.png" id="139" name="Picture"/>
                          <pic:cNvPicPr>
                            <a:picLocks noChangeArrowheads="1" noChangeAspect="1"/>
                          </pic:cNvPicPr>
                        </pic:nvPicPr>
                        <pic:blipFill>
                          <a:blip r:embed="rId137"/>
                          <a:stretch>
                            <a:fillRect/>
                          </a:stretch>
                        </pic:blipFill>
                        <pic:spPr bwMode="auto">
                          <a:xfrm>
                            <a:off x="0" y="0"/>
                            <a:ext cx="4577722" cy="4576577"/>
                          </a:xfrm>
                          <a:prstGeom prst="rect">
                            <a:avLst/>
                          </a:prstGeom>
                          <a:noFill/>
                          <a:ln w="9525">
                            <a:noFill/>
                            <a:headEnd/>
                            <a:tailEnd/>
                          </a:ln>
                        </pic:spPr>
                      </pic:pic>
                    </a:graphicData>
                  </a:graphic>
                </wp:inline>
              </w:drawing>
            </w:r>
          </w:p>
          <w:bookmarkEnd w:id="140"/>
        </w:tc>
      </w:tr>
    </w:tbl>
    <w:p>
      <w:pPr>
        <w:pStyle w:val="BodyText"/>
      </w:pPr>
      <w:hyperlink r:id="rId141">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5" w:name="fig-balance"/>
          <w:p>
            <w:pPr>
              <w:jc w:val="center"/>
            </w:pPr>
            <w:pPr>
              <w:jc w:val="lef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3" name="Picture"/>
                  <a:graphic>
                    <a:graphicData uri="http://schemas.openxmlformats.org/drawingml/2006/picture">
                      <pic:pic>
                        <pic:nvPicPr>
                          <pic:cNvPr descr="Figure_3_balance.png" id="144" name="Picture"/>
                          <pic:cNvPicPr>
                            <a:picLocks noChangeArrowheads="1" noChangeAspect="1"/>
                          </pic:cNvPicPr>
                        </pic:nvPicPr>
                        <pic:blipFill>
                          <a:blip r:embed="rId142"/>
                          <a:stretch>
                            <a:fillRect/>
                          </a:stretch>
                        </pic:blipFill>
                        <pic:spPr bwMode="auto">
                          <a:xfrm>
                            <a:off x="0" y="0"/>
                            <a:ext cx="5943600" cy="3169919"/>
                          </a:xfrm>
                          <a:prstGeom prst="rect">
                            <a:avLst/>
                          </a:prstGeom>
                          <a:noFill/>
                          <a:ln w="9525">
                            <a:noFill/>
                            <a:headEnd/>
                            <a:tailEnd/>
                          </a:ln>
                        </pic:spPr>
                      </pic:pic>
                    </a:graphicData>
                  </a:graphic>
                </wp:inline>
              </w:drawing>
            </w:r>
          </w:p>
          <w:bookmarkEnd w:id="145"/>
        </w:tc>
      </w:tr>
    </w:tbl>
    <w:p>
      <w:pPr>
        <w:pStyle w:val="BodyText"/>
      </w:pPr>
      <w:hyperlink r:id="rId146">
        <w:r>
          <w:rPr>
            <w:rStyle w:val="Hyperlink"/>
          </w:rPr>
          <w:t xml:space="preserve">View figure in higher resolution here</w:t>
        </w:r>
      </w:hyperlink>
    </w:p>
    <w:bookmarkEnd w:id="147"/>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2" Target="media/rId132.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Emulating Comparative Oncology Trials with Real-world Evidence Studies (ENCORE): Process Development and Methodological Considerations for Oncology Real-World Data</dc:title>
  <dc:creator/>
  <cp:keywords/>
  <dcterms:created xsi:type="dcterms:W3CDTF">2025-10-22T19:41:47Z</dcterms:created>
  <dcterms:modified xsi:type="dcterms:W3CDTF">2025-10-22T19:41:47Z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clinical-pharmacology-and-therapeutics.csl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